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D240D">
      <w:pPr>
        <w:widowControl/>
        <w:shd w:val="clear" w:color="auto" w:fill="FFFFFF"/>
        <w:spacing w:after="156" w:afterLines="50" w:line="560" w:lineRule="exact"/>
        <w:jc w:val="left"/>
        <w:outlineLvl w:val="0"/>
        <w:rPr>
          <w:rFonts w:hint="eastAsia" w:ascii="仿宋_GB2312" w:hAnsi="仿宋_GB2312" w:eastAsia="仿宋_GB2312" w:cs="仿宋_GB2312"/>
          <w:color w:val="000000"/>
          <w:kern w:val="36"/>
          <w:sz w:val="32"/>
          <w:szCs w:val="32"/>
        </w:rPr>
      </w:pPr>
      <w:r>
        <w:rPr>
          <w:rFonts w:hint="eastAsia" w:ascii="仿宋_GB2312" w:hAnsi="仿宋_GB2312" w:eastAsia="仿宋_GB2312" w:cs="仿宋_GB2312"/>
          <w:color w:val="000000"/>
          <w:kern w:val="36"/>
          <w:sz w:val="32"/>
          <w:szCs w:val="32"/>
        </w:rPr>
        <w:t>附件：</w:t>
      </w:r>
    </w:p>
    <w:p w14:paraId="6A8D13F7">
      <w:pPr>
        <w:jc w:val="center"/>
        <w:rPr>
          <w:rFonts w:eastAsia="方正小标宋简体"/>
          <w:sz w:val="44"/>
          <w:szCs w:val="44"/>
        </w:rPr>
      </w:pPr>
      <w:r>
        <w:rPr>
          <w:rFonts w:hint="eastAsia" w:eastAsia="方正小标宋简体"/>
          <w:sz w:val="44"/>
          <w:szCs w:val="44"/>
        </w:rPr>
        <w:t>北京地区电信领域数据安全事件应急预案和处置规范（试行）</w:t>
      </w:r>
    </w:p>
    <w:p w14:paraId="283A0A32">
      <w:pPr>
        <w:jc w:val="left"/>
        <w:outlineLvl w:val="0"/>
        <w:rPr>
          <w:rFonts w:eastAsia="黑体"/>
          <w:sz w:val="32"/>
          <w:szCs w:val="32"/>
        </w:rPr>
      </w:pPr>
    </w:p>
    <w:p w14:paraId="3D8E542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总则</w:t>
      </w:r>
    </w:p>
    <w:p w14:paraId="74CB9660">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bookmarkStart w:id="0" w:name="_Hlk145080878"/>
      <w:r>
        <w:rPr>
          <w:rFonts w:eastAsia="仿宋_GB2312"/>
          <w:b/>
          <w:bCs/>
          <w:sz w:val="32"/>
          <w:szCs w:val="32"/>
        </w:rPr>
        <w:t>1.1</w:t>
      </w:r>
      <w:bookmarkEnd w:id="0"/>
      <w:r>
        <w:rPr>
          <w:rFonts w:eastAsia="仿宋_GB2312"/>
          <w:b/>
          <w:bCs/>
          <w:sz w:val="32"/>
          <w:szCs w:val="32"/>
        </w:rPr>
        <w:t>编制目的</w:t>
      </w:r>
    </w:p>
    <w:p w14:paraId="6778F10D">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建立健全</w:t>
      </w:r>
      <w:r>
        <w:rPr>
          <w:rFonts w:hint="eastAsia" w:eastAsia="仿宋_GB2312"/>
          <w:sz w:val="32"/>
          <w:szCs w:val="32"/>
        </w:rPr>
        <w:t>北京地区电信领域</w:t>
      </w:r>
      <w:r>
        <w:rPr>
          <w:rFonts w:eastAsia="仿宋_GB2312"/>
          <w:sz w:val="32"/>
          <w:szCs w:val="32"/>
        </w:rPr>
        <w:t>数据安全事件应急组织体系和工作机制，提高数据安全事件综合应对能力，确保及时有效地控制、减轻和消除数据安全事件造成的危害和损失，保护个人、组织的合法权益，维护国家安全和公共利益。</w:t>
      </w:r>
    </w:p>
    <w:p w14:paraId="21FAD783">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1.2编制依据</w:t>
      </w:r>
    </w:p>
    <w:p w14:paraId="1146559B">
      <w:pPr>
        <w:keepNext w:val="0"/>
        <w:keepLines w:val="0"/>
        <w:pageBreakBefore w:val="0"/>
        <w:widowControl w:val="0"/>
        <w:kinsoku/>
        <w:wordWrap/>
        <w:overflowPunct/>
        <w:topLinePunct w:val="0"/>
        <w:autoSpaceDE/>
        <w:autoSpaceDN/>
        <w:bidi w:val="0"/>
        <w:adjustRightInd/>
        <w:snapToGrid/>
        <w:ind w:left="0" w:firstLine="640" w:firstLineChars="200"/>
        <w:textAlignment w:val="auto"/>
      </w:pPr>
      <w:r>
        <w:rPr>
          <w:rFonts w:eastAsia="仿宋_GB2312"/>
          <w:sz w:val="32"/>
          <w:szCs w:val="32"/>
        </w:rPr>
        <w:t>《中华人民共和国突发事件应对法》《中华人民共和国数据安全法》《中华人民共和国网络安全法》《中华人民共和国个人信息保护法》</w:t>
      </w:r>
      <w:r>
        <w:rPr>
          <w:rFonts w:hint="eastAsia" w:eastAsia="仿宋_GB2312"/>
          <w:sz w:val="32"/>
          <w:szCs w:val="32"/>
        </w:rPr>
        <w:t>《网络数据安全管理条例》</w:t>
      </w:r>
      <w:r>
        <w:rPr>
          <w:rFonts w:eastAsia="仿宋_GB2312"/>
          <w:sz w:val="32"/>
          <w:szCs w:val="32"/>
        </w:rPr>
        <w:t>等法律法规和《工业和信息化领域数据安全管理办法</w:t>
      </w:r>
      <w:r>
        <w:rPr>
          <w:rFonts w:hint="eastAsia" w:eastAsia="仿宋_GB2312"/>
          <w:sz w:val="32"/>
          <w:szCs w:val="32"/>
        </w:rPr>
        <w:t>（</w:t>
      </w:r>
      <w:r>
        <w:rPr>
          <w:rFonts w:eastAsia="仿宋_GB2312"/>
          <w:sz w:val="32"/>
          <w:szCs w:val="32"/>
        </w:rPr>
        <w:t>试行</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工业和信息化领域数据安全事件应急</w:t>
      </w:r>
      <w:r>
        <w:rPr>
          <w:rFonts w:hint="eastAsia" w:eastAsia="仿宋_GB2312"/>
          <w:sz w:val="32"/>
          <w:szCs w:val="32"/>
        </w:rPr>
        <w:t>预案（试行）》</w:t>
      </w:r>
      <w:bookmarkStart w:id="1" w:name="_Hlk185507475"/>
      <w:r>
        <w:rPr>
          <w:rFonts w:hint="eastAsia" w:eastAsia="仿宋_GB2312"/>
          <w:sz w:val="32"/>
          <w:szCs w:val="32"/>
        </w:rPr>
        <w:t>《北京地区电信领域数据安全管理实施细则》</w:t>
      </w:r>
      <w:bookmarkEnd w:id="1"/>
      <w:r>
        <w:rPr>
          <w:rFonts w:eastAsia="仿宋_GB2312"/>
          <w:sz w:val="32"/>
          <w:szCs w:val="32"/>
        </w:rPr>
        <w:t>等相关政策制度。</w:t>
      </w:r>
    </w:p>
    <w:p w14:paraId="5423AD2F">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1.3适用范围</w:t>
      </w:r>
    </w:p>
    <w:p w14:paraId="1172FE5B">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在</w:t>
      </w:r>
      <w:r>
        <w:rPr>
          <w:rFonts w:hint="eastAsia" w:eastAsia="仿宋_GB2312"/>
          <w:sz w:val="32"/>
          <w:szCs w:val="32"/>
        </w:rPr>
        <w:t>北京地区内</w:t>
      </w:r>
      <w:r>
        <w:rPr>
          <w:rFonts w:eastAsia="仿宋_GB2312"/>
          <w:sz w:val="32"/>
          <w:szCs w:val="32"/>
        </w:rPr>
        <w:t>发生的</w:t>
      </w:r>
      <w:r>
        <w:rPr>
          <w:rFonts w:hint="eastAsia" w:eastAsia="仿宋_GB2312"/>
          <w:sz w:val="32"/>
          <w:szCs w:val="32"/>
        </w:rPr>
        <w:t>电信领域</w:t>
      </w:r>
      <w:r>
        <w:rPr>
          <w:rFonts w:eastAsia="仿宋_GB2312"/>
          <w:sz w:val="32"/>
          <w:szCs w:val="32"/>
        </w:rPr>
        <w:t>数据安全事件应急处置活动，应当遵守相关法律、行政法规和本预案的要求。</w:t>
      </w:r>
    </w:p>
    <w:p w14:paraId="12BFF81D">
      <w:pPr>
        <w:keepNext w:val="0"/>
        <w:keepLines w:val="0"/>
        <w:pageBreakBefore w:val="0"/>
        <w:widowControl w:val="0"/>
        <w:kinsoku/>
        <w:wordWrap/>
        <w:overflowPunct/>
        <w:topLinePunct w:val="0"/>
        <w:autoSpaceDE/>
        <w:autoSpaceDN/>
        <w:bidi w:val="0"/>
        <w:adjustRightInd/>
        <w:snapToGrid/>
        <w:ind w:left="0" w:firstLine="640" w:firstLineChars="200"/>
        <w:textAlignment w:val="auto"/>
      </w:pPr>
      <w:r>
        <w:rPr>
          <w:rFonts w:eastAsia="仿宋_GB2312"/>
          <w:sz w:val="32"/>
          <w:szCs w:val="32"/>
        </w:rPr>
        <w:t>重大活动期间数据安全事件应急处置工作另有规定的，从其规定。</w:t>
      </w:r>
    </w:p>
    <w:p w14:paraId="0F29EF4E">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1.4事件定义</w:t>
      </w:r>
    </w:p>
    <w:p w14:paraId="7318DD82">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本预案所称数据安全事件，是指数据遭篡改、破坏、泄露或者非法获取、非法利用，对国家安全、公共利益或者个人、组织合法权益造成危害的事件。</w:t>
      </w:r>
    </w:p>
    <w:p w14:paraId="13072D7C">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1.5事件分级</w:t>
      </w:r>
    </w:p>
    <w:p w14:paraId="3429074B">
      <w:pPr>
        <w:keepNext w:val="0"/>
        <w:keepLines w:val="0"/>
        <w:pageBreakBefore w:val="0"/>
        <w:widowControl w:val="0"/>
        <w:kinsoku/>
        <w:wordWrap/>
        <w:overflowPunct/>
        <w:topLinePunct w:val="0"/>
        <w:autoSpaceDE/>
        <w:autoSpaceDN/>
        <w:bidi w:val="0"/>
        <w:adjustRightInd/>
        <w:snapToGrid/>
        <w:ind w:left="0" w:firstLine="640" w:firstLineChars="200"/>
        <w:textAlignment w:val="auto"/>
      </w:pPr>
      <w:r>
        <w:rPr>
          <w:rFonts w:eastAsia="仿宋_GB2312"/>
          <w:sz w:val="32"/>
          <w:szCs w:val="32"/>
        </w:rPr>
        <w:t>根据数据安全事件对国家安全、企业网络设施和信息系统、生产运营、经济运行等造成的影响范围和危害程度，将数据安全事件分为特别重大、重大、较大和一般四个级别（见附1）。</w:t>
      </w:r>
    </w:p>
    <w:p w14:paraId="7395664D">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1.6工作原则</w:t>
      </w:r>
    </w:p>
    <w:p w14:paraId="36EF65E7">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数据安全事件应急工作应当坚持统一领导、分级负责。坚持统一指挥、密切协同、快速反应、科学处置。坚持</w:t>
      </w:r>
      <w:r>
        <w:rPr>
          <w:rFonts w:hint="eastAsia" w:eastAsia="仿宋_GB2312"/>
          <w:sz w:val="32"/>
          <w:szCs w:val="32"/>
        </w:rPr>
        <w:t>“</w:t>
      </w:r>
      <w:r>
        <w:rPr>
          <w:rFonts w:eastAsia="仿宋_GB2312"/>
          <w:sz w:val="32"/>
          <w:szCs w:val="32"/>
        </w:rPr>
        <w:t>谁管业务、谁管业务数据、谁管数据安全</w:t>
      </w:r>
      <w:r>
        <w:rPr>
          <w:rFonts w:hint="eastAsia" w:eastAsia="仿宋_GB2312"/>
          <w:sz w:val="32"/>
          <w:szCs w:val="32"/>
        </w:rPr>
        <w:t>”</w:t>
      </w:r>
      <w:r>
        <w:rPr>
          <w:rFonts w:eastAsia="仿宋_GB2312"/>
          <w:sz w:val="32"/>
          <w:szCs w:val="32"/>
        </w:rPr>
        <w:t>，落实数据处理者的数据安全主体责任。坚持充分发挥各方面力量，共同做好数据安全事件应急工作。</w:t>
      </w:r>
    </w:p>
    <w:p w14:paraId="016F18D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2.组织体系</w:t>
      </w:r>
    </w:p>
    <w:p w14:paraId="06337180">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2.1领导机构与职责</w:t>
      </w:r>
    </w:p>
    <w:p w14:paraId="516EFBE8">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bookmarkStart w:id="2" w:name="_Hlk145083221"/>
      <w:r>
        <w:rPr>
          <w:rFonts w:hint="eastAsia" w:eastAsia="仿宋_GB2312"/>
          <w:sz w:val="32"/>
          <w:szCs w:val="32"/>
        </w:rPr>
        <w:t>在工业和信息化部（以下简称“工信部”）</w:t>
      </w:r>
      <w:r>
        <w:rPr>
          <w:rFonts w:hint="eastAsia" w:eastAsia="仿宋_GB2312"/>
          <w:sz w:val="32"/>
          <w:szCs w:val="32"/>
          <w:lang w:val="en-US" w:eastAsia="zh-CN"/>
        </w:rPr>
        <w:t>的统一领导</w:t>
      </w:r>
      <w:r>
        <w:rPr>
          <w:rFonts w:hint="eastAsia" w:eastAsia="仿宋_GB2312"/>
          <w:sz w:val="32"/>
          <w:szCs w:val="32"/>
        </w:rPr>
        <w:t>和北京市数据安全工作协调机制（以下简称“市协调机制”）</w:t>
      </w:r>
      <w:r>
        <w:rPr>
          <w:rFonts w:hint="eastAsia" w:eastAsia="仿宋_GB2312"/>
          <w:sz w:val="32"/>
          <w:szCs w:val="32"/>
          <w:lang w:eastAsia="zh-CN"/>
        </w:rPr>
        <w:t>的</w:t>
      </w:r>
      <w:r>
        <w:rPr>
          <w:rFonts w:hint="eastAsia" w:eastAsia="仿宋_GB2312"/>
          <w:sz w:val="32"/>
          <w:szCs w:val="32"/>
        </w:rPr>
        <w:t>统筹</w:t>
      </w:r>
      <w:r>
        <w:rPr>
          <w:rFonts w:hint="eastAsia" w:eastAsia="仿宋_GB2312"/>
          <w:sz w:val="32"/>
          <w:szCs w:val="32"/>
          <w:lang w:val="en-US" w:eastAsia="zh-CN"/>
        </w:rPr>
        <w:t>协调</w:t>
      </w:r>
      <w:r>
        <w:rPr>
          <w:rFonts w:hint="eastAsia" w:eastAsia="仿宋_GB2312"/>
          <w:sz w:val="32"/>
          <w:szCs w:val="32"/>
        </w:rPr>
        <w:t>下，</w:t>
      </w:r>
      <w:bookmarkStart w:id="3" w:name="_Hlk185505788"/>
      <w:r>
        <w:rPr>
          <w:rFonts w:hint="eastAsia" w:eastAsia="仿宋_GB2312"/>
          <w:sz w:val="32"/>
          <w:szCs w:val="32"/>
        </w:rPr>
        <w:t>北京市通信管理局网络信息安全领导小组</w:t>
      </w:r>
      <w:bookmarkEnd w:id="3"/>
      <w:r>
        <w:rPr>
          <w:rFonts w:hint="eastAsia" w:eastAsia="仿宋_GB2312"/>
          <w:sz w:val="32"/>
          <w:szCs w:val="32"/>
        </w:rPr>
        <w:t>统一负责本地区电信领域数据安全事件应急处置工作。</w:t>
      </w:r>
    </w:p>
    <w:bookmarkEnd w:id="2"/>
    <w:p w14:paraId="16752CAE">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2.2办事机构与职责</w:t>
      </w:r>
    </w:p>
    <w:p w14:paraId="7D5DE0BC">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rPr>
        <w:t>北京市通信管理局网络信息安全领导小组办公室负责牵头开展本地区</w:t>
      </w:r>
      <w:r>
        <w:rPr>
          <w:rFonts w:hint="eastAsia" w:eastAsia="仿宋_GB2312"/>
          <w:sz w:val="32"/>
          <w:szCs w:val="32"/>
          <w:lang w:val="en-US" w:eastAsia="zh-CN"/>
        </w:rPr>
        <w:t>电信领域</w:t>
      </w:r>
      <w:r>
        <w:rPr>
          <w:rFonts w:hint="eastAsia" w:eastAsia="仿宋_GB2312"/>
          <w:sz w:val="32"/>
          <w:szCs w:val="32"/>
        </w:rPr>
        <w:t>数据安全应急处置工作；及时向工信部和市协调机制报告数据安全事件情况，提出重大及以上数据安全事件应对措施建议；负责较大数据安全事件的统一指挥和协调处置</w:t>
      </w:r>
      <w:r>
        <w:rPr>
          <w:rFonts w:hint="eastAsia" w:eastAsia="仿宋_GB2312"/>
          <w:sz w:val="32"/>
          <w:szCs w:val="32"/>
          <w:lang w:eastAsia="zh-CN"/>
        </w:rPr>
        <w:t>；</w:t>
      </w:r>
      <w:r>
        <w:rPr>
          <w:rFonts w:hint="eastAsia" w:eastAsia="仿宋_GB2312"/>
          <w:sz w:val="32"/>
          <w:szCs w:val="32"/>
          <w:lang w:val="en-US" w:eastAsia="zh-CN"/>
        </w:rPr>
        <w:t>根据需要协调一般数据安全事件应急处置工作</w:t>
      </w:r>
      <w:r>
        <w:rPr>
          <w:rFonts w:hint="eastAsia" w:eastAsia="仿宋_GB2312"/>
          <w:sz w:val="32"/>
          <w:szCs w:val="32"/>
        </w:rPr>
        <w:t>。</w:t>
      </w:r>
    </w:p>
    <w:p w14:paraId="25842E3D">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2.3数据处理者职责</w:t>
      </w:r>
    </w:p>
    <w:p w14:paraId="7236125C">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rPr>
        <w:t>本预案所称数据处理者是指北京地区电信领域</w:t>
      </w:r>
      <w:r>
        <w:rPr>
          <w:rFonts w:eastAsia="仿宋_GB2312"/>
          <w:sz w:val="32"/>
          <w:szCs w:val="32"/>
        </w:rPr>
        <w:t>数据处理者</w:t>
      </w:r>
      <w:r>
        <w:rPr>
          <w:rFonts w:hint="eastAsia" w:eastAsia="仿宋_GB2312"/>
          <w:sz w:val="32"/>
          <w:szCs w:val="32"/>
        </w:rPr>
        <w:t>。</w:t>
      </w:r>
    </w:p>
    <w:p w14:paraId="7667194B">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b/>
          <w:bCs/>
          <w:sz w:val="32"/>
          <w:szCs w:val="32"/>
        </w:rPr>
      </w:pPr>
      <w:r>
        <w:rPr>
          <w:rFonts w:eastAsia="仿宋_GB2312"/>
          <w:sz w:val="32"/>
          <w:szCs w:val="32"/>
        </w:rPr>
        <w:t>数据处理者负责本单位数据安全事件预防、监测、应急处置、报告等工作，应当根据应对数据安全事件的需要，制定本单位数据安全事件应急预案。</w:t>
      </w:r>
    </w:p>
    <w:p w14:paraId="62A6E2EC">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2.4应急支撑机构与职责</w:t>
      </w:r>
    </w:p>
    <w:p w14:paraId="3CE8EFB7">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bookmarkStart w:id="4" w:name="_Hlk152683771"/>
      <w:r>
        <w:rPr>
          <w:rFonts w:hint="eastAsia" w:eastAsia="仿宋_GB2312"/>
          <w:sz w:val="32"/>
          <w:szCs w:val="32"/>
        </w:rPr>
        <w:t>北京市通信管理局</w:t>
      </w:r>
      <w:bookmarkEnd w:id="4"/>
      <w:r>
        <w:rPr>
          <w:rFonts w:ascii="Times New Roman" w:hAnsi="Times New Roman" w:eastAsia="仿宋_GB2312" w:cs="Times New Roman"/>
          <w:sz w:val="32"/>
          <w:szCs w:val="32"/>
        </w:rPr>
        <w:t>根据需要</w:t>
      </w:r>
      <w:r>
        <w:rPr>
          <w:rFonts w:hint="eastAsia" w:ascii="Times New Roman" w:hAnsi="Times New Roman" w:eastAsia="仿宋_GB2312" w:cs="Times New Roman"/>
          <w:sz w:val="32"/>
          <w:szCs w:val="32"/>
        </w:rPr>
        <w:t>遴选</w:t>
      </w:r>
      <w:r>
        <w:rPr>
          <w:rFonts w:ascii="Times New Roman" w:hAnsi="Times New Roman" w:eastAsia="仿宋_GB2312" w:cs="Times New Roman"/>
          <w:sz w:val="32"/>
          <w:szCs w:val="32"/>
        </w:rPr>
        <w:t>属地数据安全应急支撑机构，</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开展数据安全事件预防保护、监测预警、应急处置、攻击溯源等工作。</w:t>
      </w:r>
    </w:p>
    <w:p w14:paraId="6AA47860">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2.</w:t>
      </w:r>
      <w:r>
        <w:rPr>
          <w:rFonts w:hint="eastAsia" w:eastAsia="仿宋_GB2312"/>
          <w:b/>
          <w:bCs/>
          <w:sz w:val="32"/>
          <w:szCs w:val="32"/>
          <w:lang w:val="en-US" w:eastAsia="zh-CN"/>
        </w:rPr>
        <w:t>5</w:t>
      </w:r>
      <w:r>
        <w:rPr>
          <w:rFonts w:hint="eastAsia" w:eastAsia="仿宋_GB2312"/>
          <w:b/>
          <w:bCs/>
          <w:sz w:val="32"/>
          <w:szCs w:val="32"/>
        </w:rPr>
        <w:t>协同联动</w:t>
      </w:r>
    </w:p>
    <w:p w14:paraId="394AD3ED">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rPr>
        <w:t>北京市通信管理局按照有关法律、行政法规，与有关部门加强协同联动，依法配合有关部门开展数据安全事件应急处置工作。</w:t>
      </w:r>
    </w:p>
    <w:p w14:paraId="300AC74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3.监测与预警</w:t>
      </w:r>
    </w:p>
    <w:p w14:paraId="49160758">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3.1预警监测和报告</w:t>
      </w:r>
    </w:p>
    <w:p w14:paraId="328161C1">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数据处理者、数据安全应急支撑机构应当按照《工业和信息化领域数据安全管理办法（试行）》、工业和信息化领域数据安全风险信息报送与共享</w:t>
      </w:r>
      <w:r>
        <w:rPr>
          <w:rFonts w:hint="eastAsia" w:eastAsia="仿宋_GB2312"/>
          <w:sz w:val="32"/>
          <w:szCs w:val="32"/>
          <w:lang w:eastAsia="zh-CN"/>
        </w:rPr>
        <w:t>、</w:t>
      </w:r>
      <w:r>
        <w:rPr>
          <w:rFonts w:hint="eastAsia" w:eastAsia="仿宋_GB2312"/>
          <w:sz w:val="32"/>
          <w:szCs w:val="32"/>
          <w:lang w:val="en-US" w:eastAsia="zh-CN"/>
        </w:rPr>
        <w:t>北京市数据安全工作协调机制的相关</w:t>
      </w:r>
      <w:r>
        <w:rPr>
          <w:rFonts w:eastAsia="仿宋_GB2312"/>
          <w:sz w:val="32"/>
          <w:szCs w:val="32"/>
        </w:rPr>
        <w:t>要求，加强</w:t>
      </w:r>
      <w:r>
        <w:rPr>
          <w:rFonts w:hint="eastAsia" w:eastAsia="仿宋_GB2312"/>
          <w:sz w:val="32"/>
          <w:szCs w:val="32"/>
        </w:rPr>
        <w:t>电信领域</w:t>
      </w:r>
      <w:r>
        <w:rPr>
          <w:rFonts w:eastAsia="仿宋_GB2312"/>
          <w:sz w:val="32"/>
          <w:szCs w:val="32"/>
        </w:rPr>
        <w:t>数据安全风险监测、研判和上报，分析相关风险发生数据安全事件的可能性及其可能造成的影响。</w:t>
      </w:r>
    </w:p>
    <w:p w14:paraId="2F77BF6E">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数据处理者、数据安全应急支撑机构认为可能发生较大及以上数据安全事件的，应当立即向</w:t>
      </w:r>
      <w:r>
        <w:rPr>
          <w:rFonts w:hint="eastAsia" w:eastAsia="仿宋_GB2312"/>
          <w:sz w:val="32"/>
          <w:szCs w:val="32"/>
        </w:rPr>
        <w:t>北京市通信管理局</w:t>
      </w:r>
      <w:r>
        <w:rPr>
          <w:rFonts w:ascii="Times New Roman" w:hAnsi="Times New Roman" w:eastAsia="仿宋_GB2312" w:cs="Times New Roman"/>
          <w:sz w:val="32"/>
          <w:szCs w:val="32"/>
        </w:rPr>
        <w:t>报告（模板见附2）。</w:t>
      </w:r>
    </w:p>
    <w:p w14:paraId="498B2C9D">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3.2预警分级</w:t>
      </w:r>
    </w:p>
    <w:p w14:paraId="2FEAFA3A">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根据紧急程度、发展态势、数据规模、关联影响和现实危害等，</w:t>
      </w:r>
      <w:r>
        <w:rPr>
          <w:rFonts w:ascii="Times New Roman" w:hAnsi="Times New Roman" w:eastAsia="仿宋_GB2312" w:cs="Times New Roman"/>
          <w:sz w:val="32"/>
          <w:szCs w:val="32"/>
        </w:rPr>
        <w:t>数据安全风险预警等级分为四级：由高到低依次用红色、橙色、黄色和蓝色标示，分别对应可能发生特别重大、重大、较大和一般数据安全事件</w:t>
      </w:r>
      <w:r>
        <w:rPr>
          <w:rFonts w:hint="eastAsia" w:ascii="Times New Roman" w:hAnsi="Times New Roman" w:eastAsia="仿宋_GB2312" w:cs="Times New Roman"/>
          <w:sz w:val="32"/>
          <w:szCs w:val="32"/>
        </w:rPr>
        <w:t>。</w:t>
      </w:r>
    </w:p>
    <w:p w14:paraId="3801C9F5">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hint="eastAsia" w:eastAsia="仿宋_GB2312"/>
          <w:sz w:val="32"/>
          <w:szCs w:val="32"/>
        </w:rPr>
        <w:t>北京市通信管理局</w:t>
      </w:r>
      <w:r>
        <w:rPr>
          <w:rFonts w:hint="eastAsia" w:ascii="Times New Roman" w:hAnsi="Times New Roman" w:eastAsia="仿宋_GB2312" w:cs="Times New Roman"/>
          <w:sz w:val="32"/>
          <w:szCs w:val="32"/>
        </w:rPr>
        <w:t>负责按照工信部统筹建立的数据安全风险预警机制，</w:t>
      </w:r>
      <w:r>
        <w:rPr>
          <w:rFonts w:ascii="Times New Roman" w:hAnsi="Times New Roman" w:eastAsia="仿宋_GB2312" w:cs="Times New Roman"/>
          <w:sz w:val="32"/>
          <w:szCs w:val="32"/>
        </w:rPr>
        <w:t>汇总分析</w:t>
      </w:r>
      <w:r>
        <w:rPr>
          <w:rFonts w:hint="eastAsia" w:ascii="Times New Roman" w:hAnsi="Times New Roman" w:eastAsia="仿宋_GB2312" w:cs="Times New Roman"/>
          <w:sz w:val="32"/>
          <w:szCs w:val="32"/>
        </w:rPr>
        <w:t>北京地区电信领域</w:t>
      </w:r>
      <w:r>
        <w:rPr>
          <w:rFonts w:ascii="Times New Roman" w:hAnsi="Times New Roman" w:eastAsia="仿宋_GB2312" w:cs="Times New Roman"/>
          <w:sz w:val="32"/>
          <w:szCs w:val="32"/>
        </w:rPr>
        <w:t>数据安全风险和预警信息，必要时组织数据安全应急支撑机构、专家</w:t>
      </w:r>
      <w:r>
        <w:rPr>
          <w:rFonts w:hint="eastAsia" w:ascii="Times New Roman" w:hAnsi="Times New Roman" w:eastAsia="仿宋_GB2312" w:cs="Times New Roman"/>
          <w:sz w:val="32"/>
          <w:szCs w:val="32"/>
        </w:rPr>
        <w:t>、相关企业</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会商谈判</w:t>
      </w:r>
      <w:r>
        <w:rPr>
          <w:rFonts w:ascii="Times New Roman" w:hAnsi="Times New Roman" w:eastAsia="仿宋_GB2312" w:cs="Times New Roman"/>
          <w:sz w:val="32"/>
          <w:szCs w:val="32"/>
        </w:rPr>
        <w:t>，明确预警等级。</w:t>
      </w:r>
    </w:p>
    <w:p w14:paraId="4ECDD6E6">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3.3预警发布</w:t>
      </w:r>
    </w:p>
    <w:p w14:paraId="28228B23">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认为需要发布红色</w:t>
      </w:r>
      <w:r>
        <w:rPr>
          <w:rFonts w:hint="eastAsia" w:eastAsia="仿宋_GB2312"/>
          <w:sz w:val="32"/>
          <w:szCs w:val="32"/>
        </w:rPr>
        <w:t>和橙色</w:t>
      </w:r>
      <w:r>
        <w:rPr>
          <w:rFonts w:eastAsia="仿宋_GB2312"/>
          <w:sz w:val="32"/>
          <w:szCs w:val="32"/>
        </w:rPr>
        <w:t>预警的，由</w:t>
      </w:r>
      <w:r>
        <w:rPr>
          <w:rFonts w:hint="eastAsia" w:eastAsia="仿宋_GB2312"/>
          <w:sz w:val="32"/>
          <w:szCs w:val="32"/>
        </w:rPr>
        <w:t>北京市通信管理局</w:t>
      </w:r>
      <w:r>
        <w:rPr>
          <w:rFonts w:eastAsia="仿宋_GB2312"/>
          <w:sz w:val="32"/>
          <w:szCs w:val="32"/>
        </w:rPr>
        <w:t>报</w:t>
      </w:r>
      <w:r>
        <w:rPr>
          <w:rFonts w:hint="eastAsia" w:eastAsia="仿宋_GB2312"/>
          <w:sz w:val="32"/>
          <w:szCs w:val="32"/>
        </w:rPr>
        <w:t>工信部</w:t>
      </w:r>
      <w:r>
        <w:rPr>
          <w:rFonts w:eastAsia="仿宋_GB2312"/>
          <w:sz w:val="32"/>
          <w:szCs w:val="32"/>
        </w:rPr>
        <w:t>统一发布</w:t>
      </w:r>
      <w:r>
        <w:rPr>
          <w:rFonts w:hint="eastAsia" w:eastAsia="仿宋_GB2312"/>
          <w:sz w:val="32"/>
          <w:szCs w:val="32"/>
        </w:rPr>
        <w:t>，相关信息由北京市通信管理局同步报市协调机制</w:t>
      </w:r>
      <w:r>
        <w:rPr>
          <w:rFonts w:eastAsia="仿宋_GB2312"/>
          <w:sz w:val="32"/>
          <w:szCs w:val="32"/>
        </w:rPr>
        <w:t>；认为需要发布黄色和蓝色预警的，由</w:t>
      </w:r>
      <w:r>
        <w:rPr>
          <w:rFonts w:hint="eastAsia" w:eastAsia="仿宋_GB2312"/>
          <w:sz w:val="32"/>
          <w:szCs w:val="32"/>
        </w:rPr>
        <w:t>北京市通信管理局</w:t>
      </w:r>
      <w:r>
        <w:rPr>
          <w:rFonts w:eastAsia="仿宋_GB2312"/>
          <w:sz w:val="32"/>
          <w:szCs w:val="32"/>
        </w:rPr>
        <w:t>在本地区内发布。</w:t>
      </w:r>
    </w:p>
    <w:p w14:paraId="6FC3DDFC">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发布预警信息时，应当包括预警等级、起始时间、可能的影响范围和造成的危害、警示事项、应采取的防范措施、处置时限要求和发布机关等。</w:t>
      </w:r>
    </w:p>
    <w:p w14:paraId="2748A8BE">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3.4预警响应</w:t>
      </w:r>
    </w:p>
    <w:p w14:paraId="4693A580">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发布黄色和蓝色预警后，</w:t>
      </w:r>
      <w:r>
        <w:rPr>
          <w:rFonts w:hint="eastAsia" w:eastAsia="仿宋_GB2312"/>
          <w:sz w:val="32"/>
          <w:szCs w:val="32"/>
        </w:rPr>
        <w:t>相关单位</w:t>
      </w:r>
      <w:r>
        <w:rPr>
          <w:rFonts w:eastAsia="仿宋_GB2312"/>
          <w:sz w:val="32"/>
          <w:szCs w:val="32"/>
        </w:rPr>
        <w:t>应当针对即将发生的数据安全事件特点和可能造成的危害，采取下列措施：</w:t>
      </w:r>
    </w:p>
    <w:p w14:paraId="23527800">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ascii="Times New Roman" w:hAnsi="Times New Roman" w:eastAsia="仿宋_GB2312" w:cs="Times New Roman"/>
          <w:b w:val="0"/>
          <w:bCs w:val="0"/>
          <w:sz w:val="32"/>
          <w:szCs w:val="32"/>
          <w:lang w:val="en-US" w:eastAsia="zh-CN"/>
        </w:rPr>
        <w:t>(1)</w:t>
      </w:r>
      <w:r>
        <w:rPr>
          <w:rFonts w:eastAsia="仿宋_GB2312"/>
          <w:sz w:val="32"/>
          <w:szCs w:val="32"/>
        </w:rPr>
        <w:t>涉及预警信息的数据处理者</w:t>
      </w:r>
      <w:r>
        <w:rPr>
          <w:rFonts w:hint="eastAsia" w:eastAsia="仿宋_GB2312"/>
          <w:sz w:val="32"/>
          <w:szCs w:val="32"/>
        </w:rPr>
        <w:t>应</w:t>
      </w:r>
      <w:r>
        <w:rPr>
          <w:rFonts w:eastAsia="仿宋_GB2312"/>
          <w:sz w:val="32"/>
          <w:szCs w:val="32"/>
        </w:rPr>
        <w:t>及时收集、报告有关信息，加强数据安全风险监测；</w:t>
      </w:r>
    </w:p>
    <w:p w14:paraId="232DB49B">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eastAsia="仿宋_GB2312"/>
          <w:sz w:val="32"/>
          <w:szCs w:val="32"/>
        </w:rPr>
        <w:t>数据安全应急支撑机构加强预警信息分析评估与事态跟踪，密切关注事态发展，提出下步工作措施；</w:t>
      </w:r>
    </w:p>
    <w:p w14:paraId="63A69D1D">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sz w:val="32"/>
          <w:szCs w:val="32"/>
          <w:lang w:val="en-US" w:eastAsia="zh-CN"/>
        </w:rPr>
        <w:t>组织专家</w:t>
      </w:r>
      <w:r>
        <w:rPr>
          <w:rFonts w:ascii="Times New Roman" w:hAnsi="Times New Roman" w:eastAsia="仿宋_GB2312" w:cs="Times New Roman"/>
          <w:sz w:val="32"/>
          <w:szCs w:val="32"/>
        </w:rPr>
        <w:t>加强风险</w:t>
      </w:r>
      <w:r>
        <w:rPr>
          <w:rFonts w:ascii="Times New Roman" w:hAnsi="Times New Roman" w:eastAsia="仿宋_GB2312" w:cs="Times New Roman"/>
          <w:spacing w:val="4"/>
          <w:sz w:val="32"/>
          <w:szCs w:val="32"/>
        </w:rPr>
        <w:t>研判及原因</w:t>
      </w:r>
      <w:r>
        <w:rPr>
          <w:rFonts w:hint="eastAsia" w:ascii="Times New Roman" w:hAnsi="Times New Roman" w:eastAsia="仿宋_GB2312" w:cs="Times New Roman"/>
          <w:sz w:val="32"/>
          <w:szCs w:val="32"/>
        </w:rPr>
        <w:t>、影响等</w:t>
      </w:r>
      <w:r>
        <w:rPr>
          <w:rFonts w:ascii="Times New Roman" w:hAnsi="Times New Roman" w:eastAsia="仿宋_GB2312" w:cs="Times New Roman"/>
          <w:spacing w:val="4"/>
          <w:sz w:val="32"/>
          <w:szCs w:val="32"/>
        </w:rPr>
        <w:t>分析，提出应急处置方法和整改措施建议。</w:t>
      </w:r>
    </w:p>
    <w:p w14:paraId="1FD20A21">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rPr>
        <w:t>工信部</w:t>
      </w:r>
      <w:r>
        <w:rPr>
          <w:rFonts w:eastAsia="仿宋_GB2312"/>
          <w:sz w:val="32"/>
          <w:szCs w:val="32"/>
        </w:rPr>
        <w:t>发布红色和橙色预警后，</w:t>
      </w:r>
      <w:r>
        <w:rPr>
          <w:rFonts w:hint="eastAsia" w:eastAsia="仿宋_GB2312"/>
          <w:sz w:val="32"/>
          <w:szCs w:val="32"/>
        </w:rPr>
        <w:t>相关企业</w:t>
      </w:r>
      <w:r>
        <w:rPr>
          <w:rFonts w:eastAsia="仿宋_GB2312"/>
          <w:sz w:val="32"/>
          <w:szCs w:val="32"/>
        </w:rPr>
        <w:t>除采取黄色和蓝色预警响应措施外，还应当对即将发生的数据安全事件特点和可能造成的危害，采取下列措施：</w:t>
      </w:r>
    </w:p>
    <w:p w14:paraId="1F222B69">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1</w:t>
      </w:r>
      <w:r>
        <w:rPr>
          <w:rFonts w:hint="eastAsia" w:ascii="Times New Roman" w:hAnsi="Times New Roman" w:eastAsia="仿宋_GB2312" w:cs="Times New Roman"/>
          <w:b w:val="0"/>
          <w:bCs w:val="0"/>
          <w:kern w:val="2"/>
          <w:sz w:val="32"/>
          <w:szCs w:val="32"/>
          <w:lang w:val="en-US" w:eastAsia="zh-CN" w:bidi="ar-SA"/>
        </w:rPr>
        <w:t>)涉</w:t>
      </w:r>
      <w:r>
        <w:rPr>
          <w:rFonts w:eastAsia="仿宋_GB2312"/>
          <w:sz w:val="32"/>
          <w:szCs w:val="32"/>
        </w:rPr>
        <w:t>及预警信息的数据处理者等相关单位</w:t>
      </w:r>
      <w:r>
        <w:rPr>
          <w:rFonts w:hint="eastAsia" w:eastAsia="仿宋_GB2312"/>
          <w:sz w:val="32"/>
          <w:szCs w:val="32"/>
        </w:rPr>
        <w:t>加强值班值守</w:t>
      </w:r>
      <w:r>
        <w:rPr>
          <w:rFonts w:eastAsia="仿宋_GB2312"/>
          <w:sz w:val="32"/>
          <w:szCs w:val="32"/>
        </w:rPr>
        <w:t>，相关人员保持通信联络畅通；</w:t>
      </w:r>
    </w:p>
    <w:p w14:paraId="10EA3A59">
      <w:pPr>
        <w:keepNext w:val="0"/>
        <w:keepLines w:val="0"/>
        <w:pageBreakBefore w:val="0"/>
        <w:widowControl w:val="0"/>
        <w:kinsoku/>
        <w:wordWrap/>
        <w:overflowPunct/>
        <w:topLinePunct w:val="0"/>
        <w:autoSpaceDE/>
        <w:autoSpaceDN/>
        <w:bidi w:val="0"/>
        <w:adjustRightInd/>
        <w:snapToGrid/>
        <w:ind w:left="0" w:firstLine="640" w:firstLineChars="200"/>
        <w:textAlignment w:val="auto"/>
      </w:pPr>
      <w:r>
        <w:rPr>
          <w:rFonts w:hint="eastAsia"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)数据安</w:t>
      </w:r>
      <w:r>
        <w:rPr>
          <w:rFonts w:eastAsia="仿宋_GB2312"/>
          <w:sz w:val="32"/>
          <w:szCs w:val="32"/>
        </w:rPr>
        <w:t>全应急支撑机构进入待命状态，针对预警信息研究制定应对方案，检查应急设备、软件工具等使用情况，确保处于良好状态。</w:t>
      </w:r>
    </w:p>
    <w:p w14:paraId="4DB46174">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3.5预警调整和解除</w:t>
      </w:r>
    </w:p>
    <w:p w14:paraId="1F5A1A46">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红色和橙色预警</w:t>
      </w:r>
      <w:r>
        <w:rPr>
          <w:rFonts w:hint="eastAsia" w:eastAsia="仿宋_GB2312"/>
          <w:sz w:val="32"/>
          <w:szCs w:val="32"/>
        </w:rPr>
        <w:t>由工信部统一负责调整和解除，相关信息由北京市通信管理局同步报市协调机制。</w:t>
      </w:r>
    </w:p>
    <w:p w14:paraId="12577C61">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黄色和蓝色预警</w:t>
      </w:r>
      <w:r>
        <w:rPr>
          <w:rFonts w:hint="eastAsia" w:eastAsia="仿宋_GB2312"/>
          <w:sz w:val="32"/>
          <w:szCs w:val="32"/>
        </w:rPr>
        <w:t>由北京市通信管理局</w:t>
      </w:r>
      <w:r>
        <w:rPr>
          <w:rFonts w:eastAsia="仿宋_GB2312"/>
          <w:sz w:val="32"/>
          <w:szCs w:val="32"/>
        </w:rPr>
        <w:t>发布后，根据事态发展，适时调整预警级别并按照权限重新发布。经研判不可能发生事件或风险已经解除的，宣布解除预警</w:t>
      </w:r>
      <w:r>
        <w:rPr>
          <w:rFonts w:hint="eastAsia" w:eastAsia="仿宋_GB2312"/>
          <w:sz w:val="32"/>
          <w:szCs w:val="32"/>
        </w:rPr>
        <w:t>和</w:t>
      </w:r>
      <w:r>
        <w:rPr>
          <w:rFonts w:eastAsia="仿宋_GB2312"/>
          <w:sz w:val="32"/>
          <w:szCs w:val="32"/>
        </w:rPr>
        <w:t>已经采取的有关预警响应措施。</w:t>
      </w:r>
    </w:p>
    <w:p w14:paraId="587284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4.事件响应</w:t>
      </w:r>
    </w:p>
    <w:p w14:paraId="23DF3C39">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4.1响应分级</w:t>
      </w:r>
    </w:p>
    <w:p w14:paraId="5102DBAF">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b/>
          <w:bCs/>
          <w:sz w:val="32"/>
          <w:szCs w:val="32"/>
        </w:rPr>
      </w:pPr>
      <w:r>
        <w:rPr>
          <w:rFonts w:eastAsia="仿宋_GB2312"/>
          <w:sz w:val="32"/>
          <w:szCs w:val="32"/>
        </w:rPr>
        <w:t>数据安全事件应急响应分为四级：</w:t>
      </w:r>
      <w:bookmarkStart w:id="5" w:name="_Hlk185507185"/>
      <w:r>
        <w:rPr>
          <w:rFonts w:eastAsia="仿宋_GB2312"/>
          <w:sz w:val="32"/>
          <w:szCs w:val="32"/>
        </w:rPr>
        <w:t>I级、II级</w:t>
      </w:r>
      <w:bookmarkEnd w:id="5"/>
      <w:r>
        <w:rPr>
          <w:rFonts w:eastAsia="仿宋_GB2312"/>
          <w:sz w:val="32"/>
          <w:szCs w:val="32"/>
        </w:rPr>
        <w:t>、III级、IV级，分别对应发生特别重大、重大、较大、一般数据安全事件的应急响应。</w:t>
      </w:r>
    </w:p>
    <w:p w14:paraId="7B3D4DEA">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4.2事件监测和报告</w:t>
      </w:r>
    </w:p>
    <w:p w14:paraId="41DA610D">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数据处理者一旦发生数据安全事件，应当立即</w:t>
      </w:r>
      <w:r>
        <w:rPr>
          <w:rFonts w:hint="eastAsia" w:eastAsia="仿宋_GB2312"/>
          <w:sz w:val="32"/>
          <w:szCs w:val="32"/>
        </w:rPr>
        <w:t>先行判断，对自判为较大以上事件的，应当立即</w:t>
      </w:r>
      <w:r>
        <w:rPr>
          <w:rFonts w:eastAsia="仿宋_GB2312"/>
          <w:sz w:val="32"/>
          <w:szCs w:val="32"/>
        </w:rPr>
        <w:t>向</w:t>
      </w:r>
      <w:r>
        <w:rPr>
          <w:rFonts w:hint="eastAsia" w:eastAsia="仿宋_GB2312"/>
          <w:sz w:val="32"/>
          <w:szCs w:val="32"/>
        </w:rPr>
        <w:t>北京市通信管理局</w:t>
      </w:r>
      <w:r>
        <w:rPr>
          <w:rFonts w:eastAsia="仿宋_GB2312"/>
          <w:sz w:val="32"/>
          <w:szCs w:val="32"/>
        </w:rPr>
        <w:t>报告，不得迟报、谎报、瞒报、漏报。</w:t>
      </w:r>
    </w:p>
    <w:p w14:paraId="3B34A88E">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数据安全应急支撑机构应当通过多种途径监测、收集数据安全事件信息，及时向</w:t>
      </w:r>
      <w:r>
        <w:rPr>
          <w:rFonts w:hint="eastAsia" w:eastAsia="仿宋_GB2312"/>
          <w:sz w:val="32"/>
          <w:szCs w:val="32"/>
        </w:rPr>
        <w:t>北京市通信管理局</w:t>
      </w:r>
      <w:r>
        <w:rPr>
          <w:rFonts w:eastAsia="仿宋_GB2312"/>
          <w:sz w:val="32"/>
          <w:szCs w:val="32"/>
        </w:rPr>
        <w:t>报告。</w:t>
      </w:r>
    </w:p>
    <w:p w14:paraId="7430B2FC">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eastAsia="仿宋_GB2312"/>
          <w:sz w:val="32"/>
          <w:szCs w:val="32"/>
        </w:rPr>
      </w:pPr>
      <w:r>
        <w:rPr>
          <w:rFonts w:eastAsia="仿宋_GB2312"/>
          <w:sz w:val="32"/>
          <w:szCs w:val="32"/>
        </w:rPr>
        <w:t>数据处理者报告事件研判信息时，应当说明事件发生时间、初步判定的影响范围和危害、已采取的应急处置措施和有关建议。</w:t>
      </w:r>
    </w:p>
    <w:p w14:paraId="2762D7C7">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4.3先行处置</w:t>
      </w:r>
    </w:p>
    <w:p w14:paraId="78B9B22E">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数据安全事件发生后，数据处理者应当立即启动本单位应急预案，组织本单位应急队伍和工作人员采取应急处置措施，</w:t>
      </w:r>
      <w:r>
        <w:rPr>
          <w:rFonts w:hint="eastAsia" w:eastAsia="仿宋_GB2312"/>
          <w:sz w:val="32"/>
          <w:szCs w:val="32"/>
        </w:rPr>
        <w:t>开展</w:t>
      </w:r>
      <w:r>
        <w:rPr>
          <w:rFonts w:eastAsia="仿宋_GB2312"/>
          <w:sz w:val="32"/>
          <w:szCs w:val="32"/>
        </w:rPr>
        <w:t>数据恢复或追溯</w:t>
      </w:r>
      <w:r>
        <w:rPr>
          <w:rFonts w:hint="eastAsia" w:eastAsia="仿宋_GB2312"/>
          <w:sz w:val="32"/>
          <w:szCs w:val="32"/>
        </w:rPr>
        <w:t>工作</w:t>
      </w:r>
      <w:r>
        <w:rPr>
          <w:rFonts w:eastAsia="仿宋_GB2312"/>
          <w:sz w:val="32"/>
          <w:szCs w:val="32"/>
        </w:rPr>
        <w:t>，尽可能减少对用户和社会的影响，同时注意保存相关痕迹和证据。</w:t>
      </w:r>
    </w:p>
    <w:p w14:paraId="07791F16">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4.4应急响应</w:t>
      </w:r>
    </w:p>
    <w:p w14:paraId="7C4394FA">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rPr>
        <w:t>北京市通信管理局</w:t>
      </w:r>
      <w:r>
        <w:rPr>
          <w:rFonts w:eastAsia="仿宋_GB2312"/>
          <w:sz w:val="32"/>
          <w:szCs w:val="32"/>
        </w:rPr>
        <w:t>视情组织数据安全应急支撑机构、专家等进行研判，确定事件级别和响应等级，启动应急响应。</w:t>
      </w:r>
    </w:p>
    <w:p w14:paraId="630D67C8">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 xml:space="preserve">4.4.1 </w:t>
      </w:r>
      <w:bookmarkStart w:id="6" w:name="_Hlk185525835"/>
      <w:r>
        <w:rPr>
          <w:rFonts w:eastAsia="仿宋_GB2312"/>
          <w:b/>
          <w:bCs/>
          <w:sz w:val="32"/>
          <w:szCs w:val="32"/>
        </w:rPr>
        <w:t>I级响应</w:t>
      </w:r>
      <w:bookmarkEnd w:id="6"/>
    </w:p>
    <w:p w14:paraId="0A6A6732">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rPr>
        <w:t>由工信部或者市协调机制</w:t>
      </w:r>
      <w:r>
        <w:rPr>
          <w:rFonts w:eastAsia="仿宋_GB2312"/>
          <w:sz w:val="32"/>
          <w:szCs w:val="32"/>
        </w:rPr>
        <w:t>决定启动</w:t>
      </w:r>
      <w:r>
        <w:rPr>
          <w:rFonts w:hint="eastAsia" w:eastAsia="仿宋_GB2312"/>
          <w:sz w:val="32"/>
          <w:szCs w:val="32"/>
        </w:rPr>
        <w:t>、</w:t>
      </w:r>
      <w:r>
        <w:rPr>
          <w:rFonts w:eastAsia="仿宋_GB2312"/>
          <w:sz w:val="32"/>
          <w:szCs w:val="32"/>
        </w:rPr>
        <w:t>统一指挥</w:t>
      </w:r>
      <w:r>
        <w:rPr>
          <w:rFonts w:hint="eastAsia" w:eastAsia="仿宋_GB2312"/>
          <w:sz w:val="32"/>
          <w:szCs w:val="32"/>
        </w:rPr>
        <w:t>和</w:t>
      </w:r>
      <w:r>
        <w:rPr>
          <w:rFonts w:eastAsia="仿宋_GB2312"/>
          <w:sz w:val="32"/>
          <w:szCs w:val="32"/>
        </w:rPr>
        <w:t>协调。</w:t>
      </w:r>
      <w:r>
        <w:rPr>
          <w:rFonts w:hint="eastAsia" w:eastAsia="仿宋_GB2312"/>
          <w:sz w:val="32"/>
          <w:szCs w:val="32"/>
        </w:rPr>
        <w:t>北京市通信管理局立即</w:t>
      </w:r>
      <w:r>
        <w:rPr>
          <w:rFonts w:eastAsia="仿宋_GB2312"/>
          <w:sz w:val="32"/>
          <w:szCs w:val="32"/>
        </w:rPr>
        <w:t>全面了解相关数据处理者受事件影响情况</w:t>
      </w:r>
      <w:r>
        <w:rPr>
          <w:rFonts w:hint="eastAsia" w:eastAsia="仿宋_GB2312"/>
          <w:sz w:val="32"/>
          <w:szCs w:val="32"/>
        </w:rPr>
        <w:t>，配合做好本地区数据安全应急响应工作。具体包括：</w:t>
      </w:r>
    </w:p>
    <w:p w14:paraId="1A1405DC">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涉事数据处理者立即进入应急状态，数据安全第一责任人（本单位法定代表人或主要负责人）牵头组建事件应对工作专班，组织研究应对措施，统筹开展应急处置工作。数据安全直接责任人（本单位数据安全工作分管领导）对应急处置工作进行具体部署，组织专班加强值班值守，相关人员保持联络畅通；持续加强监测分析，跟踪事态发展，评估影响范围和事件原因，采取有效整改处置措施，并及时汇报工作进展和处置情况。</w:t>
      </w:r>
    </w:p>
    <w:p w14:paraId="7213017A">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相关数据安全应急支撑机构进入应急状态，</w:t>
      </w:r>
      <w:r>
        <w:rPr>
          <w:rFonts w:hint="eastAsia" w:ascii="Times New Roman" w:hAnsi="Times New Roman" w:eastAsia="仿宋_GB2312" w:cs="Times New Roman"/>
          <w:sz w:val="32"/>
          <w:szCs w:val="32"/>
        </w:rPr>
        <w:t>加强值班值守</w:t>
      </w:r>
      <w:r>
        <w:rPr>
          <w:rFonts w:ascii="Times New Roman" w:hAnsi="Times New Roman" w:eastAsia="仿宋_GB2312" w:cs="Times New Roman"/>
          <w:sz w:val="32"/>
          <w:szCs w:val="32"/>
        </w:rPr>
        <w:t>，相关人员保持联络畅通。持续加强监测分析，跟踪事态发展变化、处置进展情况，评估影响范围。</w:t>
      </w:r>
    </w:p>
    <w:p w14:paraId="546395FC">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组织</w:t>
      </w:r>
      <w:r>
        <w:rPr>
          <w:rFonts w:ascii="Times New Roman" w:hAnsi="Times New Roman" w:eastAsia="仿宋_GB2312" w:cs="Times New Roman"/>
          <w:sz w:val="32"/>
          <w:szCs w:val="32"/>
        </w:rPr>
        <w:t>专家加强安全事件研判分析，配合开展会商研讨，提出应急处置决策建议。</w:t>
      </w:r>
    </w:p>
    <w:p w14:paraId="1A729794">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4.4.2 II级响应</w:t>
      </w:r>
    </w:p>
    <w:p w14:paraId="07227F6D">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由</w:t>
      </w:r>
      <w:r>
        <w:rPr>
          <w:rFonts w:hint="eastAsia" w:eastAsia="仿宋_GB2312"/>
          <w:sz w:val="32"/>
          <w:szCs w:val="32"/>
        </w:rPr>
        <w:t>工信部或者市协调机制</w:t>
      </w:r>
      <w:r>
        <w:rPr>
          <w:rFonts w:eastAsia="仿宋_GB2312"/>
          <w:sz w:val="32"/>
          <w:szCs w:val="32"/>
        </w:rPr>
        <w:t>决定启动</w:t>
      </w:r>
      <w:r>
        <w:rPr>
          <w:rFonts w:hint="eastAsia" w:eastAsia="仿宋_GB2312"/>
          <w:sz w:val="32"/>
          <w:szCs w:val="32"/>
        </w:rPr>
        <w:t>、</w:t>
      </w:r>
      <w:r>
        <w:rPr>
          <w:rFonts w:eastAsia="仿宋_GB2312"/>
          <w:sz w:val="32"/>
          <w:szCs w:val="32"/>
        </w:rPr>
        <w:t>统一指挥</w:t>
      </w:r>
      <w:r>
        <w:rPr>
          <w:rFonts w:hint="eastAsia" w:eastAsia="仿宋_GB2312"/>
          <w:sz w:val="32"/>
          <w:szCs w:val="32"/>
        </w:rPr>
        <w:t>和</w:t>
      </w:r>
      <w:r>
        <w:rPr>
          <w:rFonts w:eastAsia="仿宋_GB2312"/>
          <w:sz w:val="32"/>
          <w:szCs w:val="32"/>
        </w:rPr>
        <w:t>协调。</w:t>
      </w:r>
      <w:r>
        <w:rPr>
          <w:rFonts w:hint="eastAsia" w:eastAsia="仿宋_GB2312"/>
          <w:sz w:val="32"/>
          <w:szCs w:val="32"/>
        </w:rPr>
        <w:t>北京市通信管理局立即</w:t>
      </w:r>
      <w:r>
        <w:rPr>
          <w:rFonts w:eastAsia="仿宋_GB2312"/>
          <w:sz w:val="32"/>
          <w:szCs w:val="32"/>
        </w:rPr>
        <w:t>全面了解相关数据处理者受事件影响情况</w:t>
      </w:r>
      <w:r>
        <w:rPr>
          <w:rFonts w:hint="eastAsia" w:eastAsia="仿宋_GB2312"/>
          <w:sz w:val="32"/>
          <w:szCs w:val="32"/>
        </w:rPr>
        <w:t>，配合做好本地区数据安全应急响应工作。具体包括：</w:t>
      </w:r>
    </w:p>
    <w:p w14:paraId="7AE36354">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涉事数据处理者立即进入应急状态，数据安全直接责任人牵头研究应对措施，统筹部署开展应急处置工作，相关人员保持联络畅通；持续加强监测分析，跟踪事态发展，评估影响范围和事件原因，采取有效整改处置措施，并及时汇报工作进展和处置情况。</w:t>
      </w:r>
    </w:p>
    <w:p w14:paraId="67B069B5">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相关数据安全应急支撑机构进入应急状态，相关人员保持联络畅通。持续加强监测分析，跟踪事态发展变化、处置进展情况，评估影响范围。</w:t>
      </w:r>
    </w:p>
    <w:p w14:paraId="5C9F5DE5">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cs="Times New Roman"/>
        </w:rPr>
      </w:pPr>
      <w:r>
        <w:rPr>
          <w:rFonts w:hint="eastAsia" w:ascii="Times New Roman" w:hAnsi="Times New Roman" w:eastAsia="仿宋_GB2312" w:cs="Times New Roman"/>
          <w:sz w:val="32"/>
          <w:szCs w:val="32"/>
          <w:lang w:val="en-US" w:eastAsia="zh-CN"/>
        </w:rPr>
        <w:t>组织专家</w:t>
      </w:r>
      <w:r>
        <w:rPr>
          <w:rFonts w:ascii="Times New Roman" w:hAnsi="Times New Roman" w:eastAsia="仿宋_GB2312" w:cs="Times New Roman"/>
          <w:sz w:val="32"/>
          <w:szCs w:val="32"/>
        </w:rPr>
        <w:t>加强安全事件研判分析，配合开展会商研讨，提出应急处置决策建议。</w:t>
      </w:r>
    </w:p>
    <w:p w14:paraId="17846880">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4.4.3 III级响应</w:t>
      </w:r>
    </w:p>
    <w:p w14:paraId="09D8CC06">
      <w:pPr>
        <w:keepNext w:val="0"/>
        <w:keepLines w:val="0"/>
        <w:pageBreakBefore w:val="0"/>
        <w:widowControl w:val="0"/>
        <w:kinsoku/>
        <w:wordWrap/>
        <w:overflowPunct/>
        <w:topLinePunct w:val="0"/>
        <w:autoSpaceDE/>
        <w:autoSpaceDN/>
        <w:bidi w:val="0"/>
        <w:adjustRightInd/>
        <w:snapToGrid/>
        <w:ind w:left="0" w:firstLine="640" w:firstLineChars="200"/>
        <w:textAlignment w:val="auto"/>
      </w:pPr>
      <w:r>
        <w:rPr>
          <w:rFonts w:eastAsia="仿宋_GB2312"/>
          <w:sz w:val="32"/>
          <w:szCs w:val="32"/>
        </w:rPr>
        <w:t>由</w:t>
      </w:r>
      <w:r>
        <w:rPr>
          <w:rFonts w:hint="eastAsia" w:eastAsia="仿宋_GB2312"/>
          <w:sz w:val="32"/>
          <w:szCs w:val="32"/>
        </w:rPr>
        <w:t>北京市通信管理局</w:t>
      </w:r>
      <w:r>
        <w:rPr>
          <w:rFonts w:eastAsia="仿宋_GB2312"/>
          <w:sz w:val="32"/>
          <w:szCs w:val="32"/>
        </w:rPr>
        <w:t>按照本地区数据安全事件应急预案决定启动，并负责指挥、协调。</w:t>
      </w:r>
      <w:r>
        <w:rPr>
          <w:rFonts w:hint="eastAsia" w:eastAsia="仿宋_GB2312"/>
          <w:sz w:val="32"/>
          <w:szCs w:val="32"/>
        </w:rPr>
        <w:t>具体包括：</w:t>
      </w:r>
    </w:p>
    <w:p w14:paraId="5CF1171C">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涉事数据处理者、数据安全应急支撑机构等加强事态跟踪研判、开展事件处置，</w:t>
      </w:r>
      <w:r>
        <w:rPr>
          <w:rFonts w:hint="eastAsia" w:eastAsia="仿宋_GB2312"/>
          <w:sz w:val="32"/>
          <w:szCs w:val="32"/>
        </w:rPr>
        <w:t>北京市通信管理局</w:t>
      </w:r>
      <w:r>
        <w:rPr>
          <w:rFonts w:eastAsia="仿宋_GB2312"/>
          <w:sz w:val="32"/>
          <w:szCs w:val="32"/>
        </w:rPr>
        <w:t>及时将事件进展及重要情况报</w:t>
      </w:r>
      <w:r>
        <w:rPr>
          <w:rFonts w:hint="eastAsia" w:eastAsia="仿宋_GB2312"/>
          <w:sz w:val="32"/>
          <w:szCs w:val="32"/>
        </w:rPr>
        <w:t>工信部和市协调机制</w:t>
      </w:r>
      <w:r>
        <w:rPr>
          <w:rFonts w:eastAsia="仿宋_GB2312"/>
          <w:sz w:val="32"/>
          <w:szCs w:val="32"/>
        </w:rPr>
        <w:t>，通知可能受影响的其他区域做好数据安全应急处置工作。</w:t>
      </w:r>
    </w:p>
    <w:p w14:paraId="6D5BF16D">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涉事数据处理者持续开展监测分析，跟踪事态发展，评估影响范围和事件原因。加强相关业务系统应用安全加固措施，提升数据安全防护能力，及时采取整改处置措施，并及时汇报工作进展和处置情况。</w:t>
      </w:r>
    </w:p>
    <w:p w14:paraId="22231879">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相关数据安全应急支撑机构持续加强监测分析，跟踪事态发展变化、处置进展情况，评估影响范围。</w:t>
      </w:r>
    </w:p>
    <w:p w14:paraId="36E40208">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4.4.</w:t>
      </w:r>
      <w:r>
        <w:rPr>
          <w:rFonts w:hint="eastAsia" w:eastAsia="仿宋_GB2312"/>
          <w:b/>
          <w:bCs/>
          <w:sz w:val="32"/>
          <w:szCs w:val="32"/>
        </w:rPr>
        <w:t>4</w:t>
      </w:r>
      <w:r>
        <w:rPr>
          <w:rFonts w:eastAsia="仿宋_GB2312"/>
          <w:b/>
          <w:bCs/>
          <w:sz w:val="32"/>
          <w:szCs w:val="32"/>
        </w:rPr>
        <w:t xml:space="preserve"> </w:t>
      </w:r>
      <w:bookmarkStart w:id="7" w:name="_Hlk177565349"/>
      <w:r>
        <w:rPr>
          <w:rFonts w:eastAsia="仿宋_GB2312"/>
          <w:b/>
          <w:bCs/>
          <w:sz w:val="32"/>
          <w:szCs w:val="32"/>
        </w:rPr>
        <w:t>IV级响应</w:t>
      </w:r>
      <w:bookmarkEnd w:id="7"/>
    </w:p>
    <w:p w14:paraId="690E13A3">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eastAsia="仿宋_GB2312"/>
          <w:sz w:val="32"/>
          <w:szCs w:val="32"/>
        </w:rPr>
      </w:pPr>
      <w:r>
        <w:rPr>
          <w:rFonts w:hint="eastAsia" w:eastAsia="仿宋_GB2312"/>
          <w:sz w:val="32"/>
          <w:szCs w:val="32"/>
        </w:rPr>
        <w:t>涉事数据处理者</w:t>
      </w:r>
      <w:r>
        <w:rPr>
          <w:rFonts w:hint="eastAsia" w:eastAsia="仿宋_GB2312"/>
          <w:sz w:val="32"/>
          <w:szCs w:val="32"/>
          <w:lang w:val="en-US" w:eastAsia="zh-CN"/>
        </w:rPr>
        <w:t>应当</w:t>
      </w:r>
      <w:r>
        <w:rPr>
          <w:rFonts w:hint="eastAsia" w:eastAsia="仿宋_GB2312"/>
          <w:sz w:val="32"/>
          <w:szCs w:val="32"/>
        </w:rPr>
        <w:t>按照行业数据安全保护相关政策标准及时采取有效措施处置事件，加强数据安全防护</w:t>
      </w:r>
      <w:r>
        <w:rPr>
          <w:rFonts w:eastAsia="仿宋_GB2312"/>
          <w:sz w:val="32"/>
          <w:szCs w:val="32"/>
        </w:rPr>
        <w:t>。</w:t>
      </w:r>
    </w:p>
    <w:p w14:paraId="6825CC95">
      <w:pPr>
        <w:pStyle w:val="3"/>
        <w:keepNext w:val="0"/>
        <w:keepLines w:val="0"/>
        <w:pageBreakBefore w:val="0"/>
        <w:widowControl w:val="0"/>
        <w:kinsoku/>
        <w:wordWrap/>
        <w:overflowPunct/>
        <w:topLinePunct w:val="0"/>
        <w:autoSpaceDE/>
        <w:autoSpaceDN/>
        <w:bidi w:val="0"/>
        <w:adjustRightInd/>
        <w:snapToGrid/>
        <w:spacing w:after="0"/>
        <w:ind w:left="0"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4.4.5 响应级别调整</w:t>
      </w:r>
    </w:p>
    <w:p w14:paraId="68EB6492">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涉事数据处理者可根据事态发展等情况，向</w:t>
      </w:r>
      <w:r>
        <w:rPr>
          <w:rFonts w:hint="eastAsia" w:ascii="Times New Roman" w:hAnsi="Times New Roman" w:eastAsia="仿宋_GB2312" w:cs="Times New Roman"/>
          <w:sz w:val="32"/>
          <w:szCs w:val="32"/>
        </w:rPr>
        <w:t>北京市通信管理局</w:t>
      </w:r>
      <w:r>
        <w:rPr>
          <w:rFonts w:ascii="Times New Roman" w:hAnsi="Times New Roman" w:eastAsia="仿宋_GB2312" w:cs="Times New Roman"/>
          <w:sz w:val="32"/>
          <w:szCs w:val="32"/>
        </w:rPr>
        <w:t>申请调整事件响应级别。</w:t>
      </w:r>
    </w:p>
    <w:p w14:paraId="3E5DF644">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北京市通信管理局</w:t>
      </w:r>
      <w:r>
        <w:rPr>
          <w:rFonts w:ascii="Times New Roman" w:hAnsi="Times New Roman" w:eastAsia="仿宋_GB2312" w:cs="Times New Roman"/>
          <w:sz w:val="32"/>
          <w:szCs w:val="32"/>
        </w:rPr>
        <w:t>根据涉事数据处理者的申请情况或者事态发展情况等，适时调整事件响应级别，涉及I、II级响应级别调整的应当报</w:t>
      </w:r>
      <w:r>
        <w:rPr>
          <w:rFonts w:hint="eastAsia" w:eastAsia="仿宋_GB2312"/>
          <w:sz w:val="32"/>
          <w:szCs w:val="32"/>
        </w:rPr>
        <w:t>工信部或者市协调机制</w:t>
      </w:r>
      <w:r>
        <w:rPr>
          <w:rFonts w:ascii="Times New Roman" w:hAnsi="Times New Roman" w:eastAsia="仿宋_GB2312" w:cs="Times New Roman"/>
          <w:sz w:val="32"/>
          <w:szCs w:val="32"/>
        </w:rPr>
        <w:t>同意。</w:t>
      </w:r>
    </w:p>
    <w:p w14:paraId="606037F7">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4.5舆情监测</w:t>
      </w:r>
    </w:p>
    <w:p w14:paraId="568D669A">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北京市通信管理局</w:t>
      </w:r>
      <w:r>
        <w:rPr>
          <w:rFonts w:ascii="Times New Roman" w:hAnsi="Times New Roman" w:eastAsia="仿宋_GB2312" w:cs="Times New Roman"/>
          <w:sz w:val="32"/>
          <w:szCs w:val="32"/>
        </w:rPr>
        <w:t>组织监测公开信息发布渠道，密切关注数据安全事件舆情信息，跟踪掌握事件影响程度和范围。</w:t>
      </w:r>
    </w:p>
    <w:p w14:paraId="4064879E">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4.6结束响应</w:t>
      </w:r>
    </w:p>
    <w:p w14:paraId="7608EB67">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事件的影响和危害得到控制或消除后，I级</w:t>
      </w:r>
      <w:r>
        <w:rPr>
          <w:rFonts w:hint="eastAsia" w:eastAsia="仿宋_GB2312"/>
          <w:sz w:val="32"/>
          <w:szCs w:val="32"/>
        </w:rPr>
        <w:t>、</w:t>
      </w:r>
      <w:r>
        <w:rPr>
          <w:rFonts w:eastAsia="仿宋_GB2312"/>
          <w:sz w:val="32"/>
          <w:szCs w:val="32"/>
        </w:rPr>
        <w:t>II级响应由</w:t>
      </w:r>
      <w:r>
        <w:rPr>
          <w:rFonts w:hint="eastAsia" w:eastAsia="仿宋_GB2312"/>
          <w:sz w:val="32"/>
          <w:szCs w:val="32"/>
        </w:rPr>
        <w:t>工信部或者市协调机制</w:t>
      </w:r>
      <w:r>
        <w:rPr>
          <w:rFonts w:eastAsia="仿宋_GB2312"/>
          <w:sz w:val="32"/>
          <w:szCs w:val="32"/>
        </w:rPr>
        <w:t>决定结束，</w:t>
      </w:r>
      <w:r>
        <w:rPr>
          <w:rFonts w:hint="eastAsia" w:eastAsia="仿宋_GB2312"/>
          <w:sz w:val="32"/>
          <w:szCs w:val="32"/>
        </w:rPr>
        <w:t>北京市通信管理局做好支撑配合</w:t>
      </w:r>
      <w:r>
        <w:rPr>
          <w:rFonts w:eastAsia="仿宋_GB2312"/>
          <w:sz w:val="32"/>
          <w:szCs w:val="32"/>
        </w:rPr>
        <w:t>；III级级响应由</w:t>
      </w:r>
      <w:r>
        <w:rPr>
          <w:rFonts w:hint="eastAsia" w:eastAsia="仿宋_GB2312"/>
          <w:sz w:val="32"/>
          <w:szCs w:val="32"/>
        </w:rPr>
        <w:t>北京市通信管理局</w:t>
      </w:r>
      <w:r>
        <w:rPr>
          <w:rFonts w:eastAsia="仿宋_GB2312"/>
          <w:sz w:val="32"/>
          <w:szCs w:val="32"/>
        </w:rPr>
        <w:t>决定结束，并报</w:t>
      </w:r>
      <w:r>
        <w:rPr>
          <w:rFonts w:hint="eastAsia" w:eastAsia="仿宋_GB2312"/>
          <w:sz w:val="32"/>
          <w:szCs w:val="32"/>
        </w:rPr>
        <w:t>工信部和市协调机制；IV级响应由涉事数据处理者决定结束。</w:t>
      </w:r>
    </w:p>
    <w:p w14:paraId="2FE41E9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5.事后总结</w:t>
      </w:r>
    </w:p>
    <w:p w14:paraId="0556DF19">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5.1事件总结上报</w:t>
      </w:r>
    </w:p>
    <w:p w14:paraId="3704066D">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重大及以上数据安全事件应急工作结束后，涉事数据处理者应当及时调查事件的起因、经过、责任，评估事件造成的影响和损失，总结事件防范和应急处置工作的经验教训，提出处理意见和改进措施，</w:t>
      </w:r>
      <w:bookmarkStart w:id="8" w:name="_Hlk185507507"/>
      <w:r>
        <w:rPr>
          <w:rFonts w:eastAsia="仿宋_GB2312"/>
          <w:sz w:val="32"/>
          <w:szCs w:val="32"/>
        </w:rPr>
        <w:t>在应急工作结束后</w:t>
      </w:r>
      <w:r>
        <w:rPr>
          <w:rFonts w:hint="eastAsia" w:eastAsia="仿宋_GB2312"/>
          <w:sz w:val="32"/>
          <w:szCs w:val="32"/>
        </w:rPr>
        <w:t>5</w:t>
      </w:r>
      <w:r>
        <w:rPr>
          <w:rFonts w:eastAsia="仿宋_GB2312"/>
          <w:sz w:val="32"/>
          <w:szCs w:val="32"/>
        </w:rPr>
        <w:t>个工作日内形成总结报告（模板见附3），报</w:t>
      </w:r>
      <w:r>
        <w:rPr>
          <w:rFonts w:hint="eastAsia" w:eastAsia="仿宋_GB2312"/>
          <w:sz w:val="32"/>
          <w:szCs w:val="32"/>
        </w:rPr>
        <w:t>北京市通信管理局</w:t>
      </w:r>
      <w:r>
        <w:rPr>
          <w:rFonts w:eastAsia="仿宋_GB2312"/>
          <w:sz w:val="32"/>
          <w:szCs w:val="32"/>
        </w:rPr>
        <w:t>。</w:t>
      </w:r>
      <w:bookmarkEnd w:id="8"/>
    </w:p>
    <w:p w14:paraId="190FA65A">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eastAsia" w:ascii="黑体" w:hAnsi="黑体" w:eastAsia="黑体" w:cs="黑体"/>
          <w:b/>
          <w:bCs/>
          <w:sz w:val="32"/>
          <w:szCs w:val="32"/>
        </w:rPr>
      </w:pPr>
      <w:r>
        <w:rPr>
          <w:rFonts w:hint="eastAsia" w:eastAsia="仿宋_GB2312"/>
          <w:b/>
          <w:bCs/>
          <w:sz w:val="32"/>
          <w:szCs w:val="32"/>
        </w:rPr>
        <w:t>5.2事件警示</w:t>
      </w:r>
    </w:p>
    <w:p w14:paraId="22876300">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hint="eastAsia" w:ascii="黑体" w:hAnsi="黑体" w:eastAsia="黑体"/>
          <w:sz w:val="32"/>
          <w:szCs w:val="32"/>
        </w:rPr>
      </w:pPr>
      <w:r>
        <w:rPr>
          <w:rFonts w:hint="eastAsia" w:ascii="Times New Roman" w:hAnsi="Times New Roman" w:eastAsia="仿宋_GB2312" w:cs="Times New Roman"/>
          <w:sz w:val="32"/>
          <w:szCs w:val="32"/>
        </w:rPr>
        <w:t>北京市通信管理局在本地区内发布与公众有关的警示信息，引导做好数据安全风险防范。</w:t>
      </w:r>
    </w:p>
    <w:p w14:paraId="6E9F916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6.预防措施</w:t>
      </w:r>
    </w:p>
    <w:p w14:paraId="1D0A8DF5">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6.1预防保护</w:t>
      </w:r>
    </w:p>
    <w:p w14:paraId="5FC28D9D">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处理者应当根据有关法律法规和国家、行业标准的规定，建立健全数据安全管理制度，建设数据安全应急技术手段，重要数据和核心数据处理者应每年至少开展一次数据安全风险评估和自查自纠，及时消除风险隐患。</w:t>
      </w:r>
    </w:p>
    <w:p w14:paraId="14F80347">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rPr>
        <w:t>北京市通信管理局</w:t>
      </w:r>
      <w:r>
        <w:rPr>
          <w:rFonts w:eastAsia="仿宋_GB2312"/>
          <w:sz w:val="32"/>
          <w:szCs w:val="32"/>
        </w:rPr>
        <w:t>依法开展</w:t>
      </w:r>
      <w:r>
        <w:rPr>
          <w:rFonts w:hint="eastAsia" w:eastAsia="仿宋_GB2312"/>
          <w:sz w:val="32"/>
          <w:szCs w:val="32"/>
        </w:rPr>
        <w:t>北京地区电信领域</w:t>
      </w:r>
      <w:r>
        <w:rPr>
          <w:rFonts w:eastAsia="仿宋_GB2312"/>
          <w:sz w:val="32"/>
          <w:szCs w:val="32"/>
        </w:rPr>
        <w:t>数据安全监督检查，指导督促相关单位消除风险隐患。</w:t>
      </w:r>
    </w:p>
    <w:p w14:paraId="2EBDCAEC">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6.2应急演练</w:t>
      </w:r>
    </w:p>
    <w:p w14:paraId="2E0D5813">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数据处理者应当积极参与</w:t>
      </w:r>
      <w:r>
        <w:rPr>
          <w:rFonts w:hint="eastAsia" w:eastAsia="仿宋_GB2312"/>
          <w:sz w:val="32"/>
          <w:szCs w:val="32"/>
        </w:rPr>
        <w:t>北京市通信管理局</w:t>
      </w:r>
      <w:r>
        <w:rPr>
          <w:rFonts w:eastAsia="仿宋_GB2312"/>
          <w:sz w:val="32"/>
          <w:szCs w:val="32"/>
        </w:rPr>
        <w:t>的应急演练，</w:t>
      </w:r>
      <w:r>
        <w:rPr>
          <w:rFonts w:hint="eastAsia" w:eastAsia="仿宋_GB2312"/>
          <w:sz w:val="32"/>
          <w:szCs w:val="32"/>
        </w:rPr>
        <w:t>开展本单位数据安全事件应急演练，提高数据安全事件应对能力</w:t>
      </w:r>
      <w:r>
        <w:rPr>
          <w:rFonts w:eastAsia="仿宋_GB2312"/>
          <w:sz w:val="32"/>
          <w:szCs w:val="32"/>
        </w:rPr>
        <w:t>。</w:t>
      </w:r>
      <w:r>
        <w:rPr>
          <w:rFonts w:hint="eastAsia" w:eastAsia="仿宋_GB2312"/>
          <w:sz w:val="32"/>
          <w:szCs w:val="32"/>
        </w:rPr>
        <w:t>重要数据和核心数据处理者应当加强应急演练，鼓励建设数据安全事件应急演练平台，针对</w:t>
      </w:r>
      <w:r>
        <w:rPr>
          <w:rFonts w:eastAsia="仿宋_GB2312"/>
          <w:sz w:val="32"/>
          <w:szCs w:val="32"/>
        </w:rPr>
        <w:t>数据泄露、数据滥用、数据篡改、数据损毁、数据违规使用等数据安全事件场景和等级</w:t>
      </w:r>
      <w:r>
        <w:rPr>
          <w:rFonts w:hint="eastAsia" w:eastAsia="仿宋_GB2312"/>
          <w:sz w:val="32"/>
          <w:szCs w:val="32"/>
        </w:rPr>
        <w:t>，</w:t>
      </w:r>
      <w:r>
        <w:rPr>
          <w:rFonts w:eastAsia="仿宋_GB2312"/>
          <w:sz w:val="32"/>
          <w:szCs w:val="32"/>
        </w:rPr>
        <w:t>明确应急响应工作责任分工、实施流程、保障措施等</w:t>
      </w:r>
      <w:r>
        <w:rPr>
          <w:rFonts w:hint="eastAsia" w:eastAsia="仿宋_GB2312"/>
          <w:sz w:val="32"/>
          <w:szCs w:val="32"/>
        </w:rPr>
        <w:t>。</w:t>
      </w:r>
    </w:p>
    <w:p w14:paraId="193AAF01">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6.3宣传培训</w:t>
      </w:r>
    </w:p>
    <w:p w14:paraId="7EBE126F">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数据处理者应当面向本单位员工加强数据安全应急宣传教育培训，</w:t>
      </w:r>
      <w:r>
        <w:rPr>
          <w:rFonts w:hint="eastAsia" w:ascii="仿宋_GB2312" w:hAnsi="黑体" w:eastAsia="仿宋_GB2312"/>
          <w:spacing w:val="8"/>
          <w:sz w:val="32"/>
          <w:szCs w:val="32"/>
          <w:shd w:val="clear" w:color="auto" w:fill="FFFFFF"/>
        </w:rPr>
        <w:t>培训内容涵盖数据安全应急相关法律法规、管理制度和工作要求、应急响应流程、安全防范意识等。</w:t>
      </w:r>
      <w:r>
        <w:rPr>
          <w:rFonts w:eastAsia="仿宋_GB2312"/>
          <w:sz w:val="32"/>
          <w:szCs w:val="32"/>
        </w:rPr>
        <w:t>鼓励开展</w:t>
      </w:r>
      <w:r>
        <w:rPr>
          <w:rFonts w:hint="eastAsia" w:eastAsia="仿宋_GB2312"/>
          <w:sz w:val="32"/>
          <w:szCs w:val="32"/>
        </w:rPr>
        <w:t>和参加</w:t>
      </w:r>
      <w:r>
        <w:rPr>
          <w:rFonts w:eastAsia="仿宋_GB2312"/>
          <w:sz w:val="32"/>
          <w:szCs w:val="32"/>
        </w:rPr>
        <w:t>各种形式的数据安全应急相关竞赛。</w:t>
      </w:r>
    </w:p>
    <w:p w14:paraId="4849202F">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6.4手段建设</w:t>
      </w:r>
    </w:p>
    <w:p w14:paraId="5EBFA8F5">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color w:val="000008"/>
          <w:kern w:val="0"/>
          <w:sz w:val="32"/>
          <w:szCs w:val="32"/>
          <w:lang w:val="zh-CN" w:bidi="ar"/>
        </w:rPr>
      </w:pPr>
      <w:r>
        <w:rPr>
          <w:rFonts w:eastAsia="仿宋_GB2312"/>
          <w:kern w:val="0"/>
          <w:sz w:val="32"/>
          <w:szCs w:val="32"/>
          <w:lang w:val="zh-CN"/>
        </w:rPr>
        <w:t>数据处理者</w:t>
      </w:r>
      <w:r>
        <w:rPr>
          <w:rFonts w:hint="eastAsia" w:eastAsia="仿宋_GB2312"/>
          <w:kern w:val="0"/>
          <w:sz w:val="32"/>
          <w:szCs w:val="32"/>
          <w:lang w:val="en-US" w:eastAsia="zh-CN"/>
        </w:rPr>
        <w:t>和相关</w:t>
      </w:r>
      <w:r>
        <w:rPr>
          <w:rFonts w:eastAsia="仿宋_GB2312"/>
          <w:kern w:val="0"/>
          <w:sz w:val="32"/>
          <w:szCs w:val="32"/>
          <w:lang w:val="zh-CN"/>
        </w:rPr>
        <w:t>单位</w:t>
      </w:r>
      <w:r>
        <w:rPr>
          <w:rFonts w:eastAsia="仿宋_GB2312"/>
          <w:color w:val="000008"/>
          <w:kern w:val="0"/>
          <w:sz w:val="32"/>
          <w:szCs w:val="32"/>
          <w:lang w:val="zh-CN" w:bidi="ar"/>
        </w:rPr>
        <w:t>应当开展数据安全风险和事件监测</w:t>
      </w:r>
      <w:r>
        <w:rPr>
          <w:rFonts w:eastAsia="仿宋_GB2312"/>
          <w:color w:val="000000"/>
          <w:kern w:val="0"/>
          <w:sz w:val="32"/>
          <w:szCs w:val="32"/>
          <w:lang w:val="zh-CN" w:bidi="ar"/>
        </w:rPr>
        <w:t>，</w:t>
      </w:r>
      <w:r>
        <w:rPr>
          <w:rFonts w:eastAsia="仿宋_GB2312"/>
          <w:color w:val="000000"/>
          <w:kern w:val="0"/>
          <w:sz w:val="32"/>
          <w:szCs w:val="32"/>
          <w:lang w:val="zh-CN"/>
        </w:rPr>
        <w:t>积极配合</w:t>
      </w:r>
      <w:r>
        <w:rPr>
          <w:rFonts w:hint="eastAsia" w:eastAsia="仿宋_GB2312"/>
          <w:color w:val="000000"/>
          <w:kern w:val="0"/>
          <w:sz w:val="32"/>
          <w:szCs w:val="32"/>
          <w:lang w:val="zh-CN"/>
        </w:rPr>
        <w:t>北京市通信管理局</w:t>
      </w:r>
      <w:r>
        <w:rPr>
          <w:rFonts w:eastAsia="仿宋_GB2312"/>
          <w:color w:val="000000"/>
          <w:kern w:val="0"/>
          <w:sz w:val="32"/>
          <w:szCs w:val="32"/>
          <w:lang w:val="zh-CN"/>
        </w:rPr>
        <w:t>开展数据安全风险监测</w:t>
      </w:r>
      <w:r>
        <w:rPr>
          <w:rFonts w:eastAsia="仿宋_GB2312"/>
          <w:kern w:val="0"/>
          <w:sz w:val="32"/>
          <w:szCs w:val="32"/>
          <w:lang w:val="zh-CN"/>
        </w:rPr>
        <w:t>和技术能力联动等</w:t>
      </w:r>
      <w:r>
        <w:rPr>
          <w:rFonts w:eastAsia="仿宋_GB2312"/>
          <w:color w:val="000000"/>
          <w:kern w:val="0"/>
          <w:sz w:val="32"/>
          <w:szCs w:val="32"/>
          <w:lang w:val="zh-CN"/>
        </w:rPr>
        <w:t>工作，</w:t>
      </w:r>
      <w:r>
        <w:rPr>
          <w:rFonts w:eastAsia="仿宋_GB2312"/>
          <w:color w:val="000008"/>
          <w:kern w:val="0"/>
          <w:sz w:val="32"/>
          <w:szCs w:val="32"/>
          <w:lang w:val="zh-CN" w:bidi="ar"/>
        </w:rPr>
        <w:t>及时排查安全隐患，采取必要的措施防范、处置数据安全风险和事件。</w:t>
      </w:r>
    </w:p>
    <w:p w14:paraId="702E2E74">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color w:val="000008"/>
          <w:kern w:val="0"/>
          <w:sz w:val="32"/>
          <w:szCs w:val="32"/>
          <w:lang w:val="zh-CN" w:bidi="ar"/>
        </w:rPr>
      </w:pPr>
      <w:r>
        <w:rPr>
          <w:rFonts w:hint="eastAsia" w:eastAsia="仿宋_GB2312"/>
          <w:kern w:val="0"/>
          <w:sz w:val="32"/>
          <w:szCs w:val="32"/>
          <w:lang w:val="en-US" w:eastAsia="zh-CN"/>
        </w:rPr>
        <w:t>北京市通信管理局</w:t>
      </w:r>
      <w:r>
        <w:rPr>
          <w:rFonts w:hint="eastAsia" w:eastAsia="仿宋_GB2312"/>
          <w:kern w:val="0"/>
          <w:sz w:val="32"/>
          <w:szCs w:val="32"/>
          <w:lang w:val="zh-CN"/>
        </w:rPr>
        <w:t>建立</w:t>
      </w:r>
      <w:r>
        <w:rPr>
          <w:rFonts w:hint="eastAsia" w:eastAsia="仿宋_GB2312"/>
          <w:kern w:val="0"/>
          <w:sz w:val="32"/>
          <w:szCs w:val="32"/>
          <w:lang w:val="en-US" w:eastAsia="zh-CN"/>
        </w:rPr>
        <w:t>健全</w:t>
      </w:r>
      <w:r>
        <w:rPr>
          <w:rFonts w:hint="eastAsia" w:eastAsia="仿宋_GB2312"/>
          <w:kern w:val="0"/>
          <w:sz w:val="32"/>
          <w:szCs w:val="32"/>
          <w:lang w:val="zh-CN"/>
        </w:rPr>
        <w:t>本地区</w:t>
      </w:r>
      <w:r>
        <w:rPr>
          <w:rFonts w:hint="eastAsia" w:eastAsia="仿宋_GB2312"/>
          <w:kern w:val="0"/>
          <w:sz w:val="32"/>
          <w:szCs w:val="32"/>
          <w:lang w:val="en-US" w:eastAsia="zh-CN"/>
        </w:rPr>
        <w:t>电信</w:t>
      </w:r>
      <w:r>
        <w:rPr>
          <w:rFonts w:hint="eastAsia" w:eastAsia="仿宋_GB2312"/>
          <w:kern w:val="0"/>
          <w:sz w:val="32"/>
          <w:szCs w:val="32"/>
          <w:lang w:val="zh-CN"/>
        </w:rPr>
        <w:t>领域数据安全监测预警与应急处置能力，组织相关企业开展数据安全风险和事件监测预警工作，及时开展风险和事件应急处置。</w:t>
      </w:r>
    </w:p>
    <w:p w14:paraId="41FC01E5">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6.</w:t>
      </w:r>
      <w:r>
        <w:rPr>
          <w:rFonts w:hint="eastAsia" w:eastAsia="仿宋_GB2312"/>
          <w:b/>
          <w:bCs/>
          <w:sz w:val="32"/>
          <w:szCs w:val="32"/>
        </w:rPr>
        <w:t>5</w:t>
      </w:r>
      <w:r>
        <w:rPr>
          <w:rFonts w:eastAsia="仿宋_GB2312"/>
          <w:b/>
          <w:bCs/>
          <w:sz w:val="32"/>
          <w:szCs w:val="32"/>
        </w:rPr>
        <w:t>重大活动期间的预防措施</w:t>
      </w:r>
    </w:p>
    <w:p w14:paraId="5B749802">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在重大活动期间，</w:t>
      </w:r>
      <w:r>
        <w:rPr>
          <w:rFonts w:hint="eastAsia" w:eastAsia="仿宋_GB2312"/>
          <w:sz w:val="32"/>
          <w:szCs w:val="32"/>
        </w:rPr>
        <w:t>北京市通信管理局</w:t>
      </w:r>
      <w:r>
        <w:rPr>
          <w:rFonts w:eastAsia="仿宋_GB2312"/>
          <w:sz w:val="32"/>
          <w:szCs w:val="32"/>
        </w:rPr>
        <w:t>组织指导数据处理者、数据安全应急支撑机构等加强数据安全风险监测、威胁研判和事件处置，强化风险防范与应对措施。相关重点</w:t>
      </w:r>
      <w:r>
        <w:rPr>
          <w:rFonts w:hint="eastAsia" w:eastAsia="仿宋_GB2312"/>
          <w:sz w:val="32"/>
          <w:szCs w:val="32"/>
        </w:rPr>
        <w:t>单位</w:t>
      </w:r>
      <w:r>
        <w:rPr>
          <w:rFonts w:eastAsia="仿宋_GB2312"/>
          <w:sz w:val="32"/>
          <w:szCs w:val="32"/>
        </w:rPr>
        <w:t>、重点岗位</w:t>
      </w:r>
      <w:r>
        <w:rPr>
          <w:rFonts w:hint="eastAsia" w:eastAsia="仿宋_GB2312"/>
          <w:sz w:val="32"/>
          <w:szCs w:val="32"/>
        </w:rPr>
        <w:t>加强值班值守</w:t>
      </w:r>
      <w:r>
        <w:rPr>
          <w:rFonts w:eastAsia="仿宋_GB2312"/>
          <w:sz w:val="32"/>
          <w:szCs w:val="32"/>
        </w:rPr>
        <w:t>。</w:t>
      </w:r>
    </w:p>
    <w:p w14:paraId="746E5FA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7.保障措施</w:t>
      </w:r>
    </w:p>
    <w:p w14:paraId="7018ED3E">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7.1落实责任</w:t>
      </w:r>
    </w:p>
    <w:p w14:paraId="103060B1">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数据处理者、数据安全应急支撑机构应当建立健全数据安全应急工作机制，把责任落</w:t>
      </w:r>
      <w:bookmarkStart w:id="9" w:name="_GoBack"/>
      <w:bookmarkEnd w:id="9"/>
      <w:r>
        <w:rPr>
          <w:rFonts w:eastAsia="仿宋_GB2312"/>
          <w:sz w:val="32"/>
          <w:szCs w:val="32"/>
        </w:rPr>
        <w:t>实到单位负责人、具体部门、具体岗位和个人。</w:t>
      </w:r>
    </w:p>
    <w:p w14:paraId="34371194">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7.2奖惩问责</w:t>
      </w:r>
    </w:p>
    <w:p w14:paraId="7481A3EE">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rPr>
        <w:t>北京市通信管理局鼓励相关单位或个人积极开展数据安全事件应急处置工作，</w:t>
      </w:r>
      <w:r>
        <w:rPr>
          <w:rFonts w:hint="eastAsia" w:eastAsia="仿宋_GB2312"/>
          <w:sz w:val="32"/>
          <w:szCs w:val="32"/>
          <w:lang w:val="en-US" w:eastAsia="zh-CN"/>
        </w:rPr>
        <w:t>对表现突出的单位和个人给予表扬；</w:t>
      </w:r>
      <w:r>
        <w:rPr>
          <w:rFonts w:eastAsia="仿宋_GB2312"/>
          <w:sz w:val="32"/>
          <w:szCs w:val="32"/>
        </w:rPr>
        <w:t>对不按照规定制定应急预案或组织开展应急演练，迟报、谎报、瞒报和漏报事件重要情况，或在预防、预警和应急工作中存在其他失职、渎职行为的单位或个人，</w:t>
      </w:r>
      <w:r>
        <w:rPr>
          <w:rFonts w:hint="eastAsia" w:eastAsia="仿宋_GB2312"/>
          <w:sz w:val="32"/>
          <w:szCs w:val="32"/>
          <w:lang w:val="en-US" w:eastAsia="zh-CN"/>
        </w:rPr>
        <w:t>依法依规</w:t>
      </w:r>
      <w:r>
        <w:rPr>
          <w:rFonts w:hint="eastAsia" w:eastAsia="仿宋_GB2312"/>
          <w:sz w:val="32"/>
          <w:szCs w:val="32"/>
          <w:lang w:eastAsia="zh-CN"/>
        </w:rPr>
        <w:t>进行</w:t>
      </w:r>
      <w:r>
        <w:rPr>
          <w:rFonts w:eastAsia="仿宋_GB2312"/>
          <w:sz w:val="32"/>
          <w:szCs w:val="32"/>
        </w:rPr>
        <w:t>约谈或给予行政处罚。</w:t>
      </w:r>
    </w:p>
    <w:p w14:paraId="2EB5E8FA">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7.3经费保障</w:t>
      </w:r>
    </w:p>
    <w:p w14:paraId="1DB59F3F">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数据安全应急支撑机构为数据安全事件应急处置工作提供必要的经费保障。</w:t>
      </w:r>
    </w:p>
    <w:p w14:paraId="54FEFA0C">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数据处理者应当安排一定的专项资金，支持本单位数据安全应急队伍建设、手段建设、应急演练、应急培训等工作开展。</w:t>
      </w:r>
    </w:p>
    <w:p w14:paraId="627BF629">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7.</w:t>
      </w:r>
      <w:r>
        <w:rPr>
          <w:rFonts w:hint="eastAsia" w:eastAsia="仿宋_GB2312"/>
          <w:b/>
          <w:bCs/>
          <w:sz w:val="32"/>
          <w:szCs w:val="32"/>
        </w:rPr>
        <w:t>4</w:t>
      </w:r>
      <w:r>
        <w:rPr>
          <w:rFonts w:eastAsia="仿宋_GB2312"/>
          <w:b/>
          <w:bCs/>
          <w:sz w:val="32"/>
          <w:szCs w:val="32"/>
        </w:rPr>
        <w:t>工作协同</w:t>
      </w:r>
    </w:p>
    <w:p w14:paraId="40319E90">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hint="eastAsia" w:eastAsia="仿宋_GB2312"/>
          <w:sz w:val="32"/>
          <w:szCs w:val="32"/>
          <w:lang w:val="en-US" w:eastAsia="zh-CN"/>
        </w:rPr>
        <w:t>北京市通信管理局</w:t>
      </w:r>
      <w:r>
        <w:rPr>
          <w:rFonts w:eastAsia="仿宋_GB2312"/>
          <w:sz w:val="32"/>
          <w:szCs w:val="32"/>
        </w:rPr>
        <w:t>支持</w:t>
      </w:r>
      <w:r>
        <w:rPr>
          <w:rFonts w:hint="eastAsia" w:eastAsia="仿宋_GB2312"/>
          <w:sz w:val="32"/>
          <w:szCs w:val="32"/>
        </w:rPr>
        <w:t>本地区</w:t>
      </w:r>
      <w:r>
        <w:rPr>
          <w:rFonts w:eastAsia="仿宋_GB2312"/>
          <w:sz w:val="32"/>
          <w:szCs w:val="32"/>
        </w:rPr>
        <w:t>相关企业、科研院所、高等学校开展应急技术攻关、产品服务和能力供给，培养数据安全应急技术人才，形成应急响应工作合力。</w:t>
      </w:r>
    </w:p>
    <w:p w14:paraId="2E682209">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7.5物资保障</w:t>
      </w:r>
    </w:p>
    <w:p w14:paraId="6B31FA66">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cs="Times New Roman"/>
        </w:rPr>
      </w:pPr>
      <w:r>
        <w:rPr>
          <w:rFonts w:ascii="Times New Roman" w:hAnsi="Times New Roman" w:eastAsia="仿宋_GB2312" w:cs="Times New Roman"/>
          <w:sz w:val="32"/>
          <w:szCs w:val="32"/>
        </w:rPr>
        <w:t>应急支撑机构应当加强对数据安全应急装备、工具的储备，及时调整、升级、优化软件硬件工具，不断增强应急技术支撑能力。</w:t>
      </w:r>
    </w:p>
    <w:p w14:paraId="5FD678DA">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7.</w:t>
      </w:r>
      <w:r>
        <w:rPr>
          <w:rFonts w:hint="eastAsia" w:eastAsia="仿宋_GB2312"/>
          <w:b/>
          <w:bCs/>
          <w:sz w:val="32"/>
          <w:szCs w:val="32"/>
        </w:rPr>
        <w:t>6</w:t>
      </w:r>
      <w:r>
        <w:rPr>
          <w:rFonts w:eastAsia="仿宋_GB2312"/>
          <w:b/>
          <w:bCs/>
          <w:sz w:val="32"/>
          <w:szCs w:val="32"/>
        </w:rPr>
        <w:t>保密管理</w:t>
      </w:r>
    </w:p>
    <w:p w14:paraId="35CE40FC">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应急支撑机构工作人员对在履行职责中知悉的个人信息和商业秘密等，应当严格保密，不得泄露或者非法向他人提供。</w:t>
      </w:r>
    </w:p>
    <w:p w14:paraId="5D9C55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附则</w:t>
      </w:r>
    </w:p>
    <w:p w14:paraId="19D24DA1">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8.1预案修订</w:t>
      </w:r>
    </w:p>
    <w:p w14:paraId="608C250B">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本预案原则上每年评估一次，根据实际情况由</w:t>
      </w:r>
      <w:r>
        <w:rPr>
          <w:rFonts w:hint="eastAsia" w:eastAsia="仿宋_GB2312"/>
          <w:sz w:val="32"/>
          <w:szCs w:val="32"/>
        </w:rPr>
        <w:t>北京市通信管理局</w:t>
      </w:r>
      <w:r>
        <w:rPr>
          <w:rFonts w:eastAsia="仿宋_GB2312"/>
          <w:sz w:val="32"/>
          <w:szCs w:val="32"/>
        </w:rPr>
        <w:t>适时进行修订。</w:t>
      </w:r>
    </w:p>
    <w:p w14:paraId="52E8FC1D">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8.2排除条款</w:t>
      </w:r>
    </w:p>
    <w:p w14:paraId="271222DD">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涉及军事、国家秘密信息等数据安全事件应急响应的，按照国家有关规定执行。</w:t>
      </w:r>
    </w:p>
    <w:p w14:paraId="593275A8">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8.3预案解释</w:t>
      </w:r>
    </w:p>
    <w:p w14:paraId="12B3ED96">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b/>
          <w:bCs/>
          <w:sz w:val="32"/>
          <w:szCs w:val="32"/>
        </w:rPr>
      </w:pPr>
      <w:r>
        <w:rPr>
          <w:rFonts w:eastAsia="仿宋_GB2312"/>
          <w:sz w:val="32"/>
          <w:szCs w:val="32"/>
        </w:rPr>
        <w:t>本预案</w:t>
      </w:r>
      <w:r>
        <w:rPr>
          <w:rFonts w:hint="eastAsia" w:eastAsia="仿宋_GB2312"/>
          <w:sz w:val="32"/>
          <w:szCs w:val="32"/>
          <w:lang w:val="en-US" w:eastAsia="zh-CN"/>
        </w:rPr>
        <w:t>由</w:t>
      </w:r>
      <w:r>
        <w:rPr>
          <w:rFonts w:hint="eastAsia" w:eastAsia="仿宋_GB2312"/>
          <w:sz w:val="32"/>
          <w:szCs w:val="32"/>
        </w:rPr>
        <w:t>北京市通信管理局</w:t>
      </w:r>
      <w:r>
        <w:rPr>
          <w:rFonts w:eastAsia="仿宋_GB2312"/>
          <w:sz w:val="32"/>
          <w:szCs w:val="32"/>
        </w:rPr>
        <w:t>负责解释。</w:t>
      </w:r>
    </w:p>
    <w:p w14:paraId="18EE81D9">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eastAsia="仿宋_GB2312"/>
          <w:b/>
          <w:bCs/>
          <w:sz w:val="32"/>
          <w:szCs w:val="32"/>
        </w:rPr>
      </w:pPr>
      <w:r>
        <w:rPr>
          <w:rFonts w:eastAsia="仿宋_GB2312"/>
          <w:b/>
          <w:bCs/>
          <w:sz w:val="32"/>
          <w:szCs w:val="32"/>
        </w:rPr>
        <w:t>8.</w:t>
      </w:r>
      <w:r>
        <w:rPr>
          <w:rFonts w:hint="eastAsia" w:eastAsia="仿宋_GB2312"/>
          <w:b/>
          <w:bCs/>
          <w:sz w:val="32"/>
          <w:szCs w:val="32"/>
        </w:rPr>
        <w:t>4</w:t>
      </w:r>
      <w:r>
        <w:rPr>
          <w:rFonts w:eastAsia="仿宋_GB2312"/>
          <w:b/>
          <w:bCs/>
          <w:sz w:val="32"/>
          <w:szCs w:val="32"/>
        </w:rPr>
        <w:t>实施日期</w:t>
      </w:r>
    </w:p>
    <w:p w14:paraId="48917141">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本预案</w:t>
      </w:r>
      <w:r>
        <w:rPr>
          <w:rFonts w:hint="eastAsia" w:eastAsia="仿宋_GB2312"/>
          <w:sz w:val="32"/>
          <w:szCs w:val="32"/>
        </w:rPr>
        <w:t>和处置规范</w:t>
      </w:r>
      <w:r>
        <w:rPr>
          <w:rFonts w:eastAsia="仿宋_GB2312"/>
          <w:sz w:val="32"/>
          <w:szCs w:val="32"/>
        </w:rPr>
        <w:t>自印发之日起实施。</w:t>
      </w:r>
    </w:p>
    <w:p w14:paraId="685751C5">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p>
    <w:p w14:paraId="7495893D">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电信领域</w:t>
      </w:r>
      <w:r>
        <w:rPr>
          <w:rFonts w:ascii="Times New Roman" w:hAnsi="Times New Roman" w:eastAsia="仿宋_GB2312" w:cs="Times New Roman"/>
          <w:sz w:val="32"/>
          <w:szCs w:val="32"/>
        </w:rPr>
        <w:t>数据安全事件分级</w:t>
      </w:r>
    </w:p>
    <w:p w14:paraId="6685833A">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eastAsia="仿宋_GB2312"/>
          <w:sz w:val="32"/>
          <w:szCs w:val="32"/>
        </w:rPr>
      </w:pPr>
      <w:r>
        <w:rPr>
          <w:rFonts w:eastAsia="仿宋_GB2312"/>
          <w:sz w:val="32"/>
          <w:szCs w:val="32"/>
        </w:rPr>
        <w:t xml:space="preserve">    2.数据安全事件上报（模板）</w:t>
      </w:r>
    </w:p>
    <w:p w14:paraId="0DA74FDF">
      <w:pPr>
        <w:pStyle w:val="3"/>
        <w:keepNext w:val="0"/>
        <w:keepLines w:val="0"/>
        <w:pageBreakBefore w:val="0"/>
        <w:widowControl w:val="0"/>
        <w:kinsoku/>
        <w:wordWrap/>
        <w:overflowPunct/>
        <w:topLinePunct w:val="0"/>
        <w:autoSpaceDE/>
        <w:autoSpaceDN/>
        <w:bidi w:val="0"/>
        <w:adjustRightInd/>
        <w:snapToGrid/>
        <w:spacing w:after="0"/>
        <w:ind w:left="0" w:firstLine="640" w:firstLineChars="200"/>
        <w:textAlignment w:val="auto"/>
        <w:rPr>
          <w:rFonts w:ascii="Times New Roman" w:hAnsi="Times New Roman" w:eastAsia="黑体" w:cs="Times New Roman"/>
          <w:sz w:val="32"/>
          <w:szCs w:val="32"/>
        </w:rPr>
        <w:sectPr>
          <w:footerReference r:id="rId3" w:type="default"/>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2"/>
          <w:szCs w:val="32"/>
        </w:rPr>
        <w:t xml:space="preserve">    3.数据安全事件应急处置工作总结报告（模板）</w:t>
      </w:r>
      <w:r>
        <w:rPr>
          <w:rFonts w:ascii="Times New Roman" w:hAnsi="Times New Roman" w:eastAsia="黑体" w:cs="Times New Roman"/>
          <w:sz w:val="32"/>
          <w:szCs w:val="32"/>
        </w:rPr>
        <w:t xml:space="preserve">    </w:t>
      </w:r>
    </w:p>
    <w:p w14:paraId="057A66FE">
      <w:pPr>
        <w:outlineLvl w:val="0"/>
        <w:rPr>
          <w:rFonts w:eastAsia="黑体"/>
          <w:sz w:val="32"/>
          <w:szCs w:val="32"/>
        </w:rPr>
      </w:pPr>
      <w:r>
        <w:rPr>
          <w:rFonts w:eastAsia="黑体"/>
          <w:sz w:val="32"/>
          <w:szCs w:val="32"/>
        </w:rPr>
        <w:t>附1</w:t>
      </w:r>
    </w:p>
    <w:p w14:paraId="73513D74">
      <w:pPr>
        <w:rPr>
          <w:rFonts w:hint="eastAsia" w:ascii="宋体" w:hAnsi="宋体" w:cs="宋体"/>
          <w:sz w:val="32"/>
          <w:szCs w:val="32"/>
        </w:rPr>
      </w:pPr>
    </w:p>
    <w:p w14:paraId="577BD8A8">
      <w:pPr>
        <w:pStyle w:val="3"/>
        <w:spacing w:after="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电信领域</w:t>
      </w:r>
      <w:r>
        <w:rPr>
          <w:rFonts w:ascii="Times New Roman" w:hAnsi="Times New Roman" w:eastAsia="方正小标宋简体" w:cs="Times New Roman"/>
          <w:sz w:val="36"/>
          <w:szCs w:val="36"/>
        </w:rPr>
        <w:t>数据安全事件分级</w:t>
      </w:r>
    </w:p>
    <w:p w14:paraId="3696F0A5">
      <w:pPr>
        <w:rPr>
          <w:rFonts w:hint="eastAsia" w:ascii="等线" w:hAnsi="等线" w:eastAsia="等线" w:cs="黑体"/>
          <w:szCs w:val="22"/>
        </w:rPr>
      </w:pPr>
    </w:p>
    <w:p w14:paraId="44C8E8F2">
      <w:pPr>
        <w:ind w:firstLine="640" w:firstLineChars="200"/>
        <w:rPr>
          <w:rFonts w:hint="eastAsia" w:ascii="黑体" w:hAnsi="黑体" w:eastAsia="黑体" w:cs="黑体"/>
          <w:sz w:val="32"/>
          <w:szCs w:val="32"/>
        </w:rPr>
      </w:pPr>
      <w:r>
        <w:rPr>
          <w:rFonts w:hint="eastAsia" w:ascii="黑体" w:hAnsi="黑体" w:eastAsia="黑体" w:cs="黑体"/>
          <w:sz w:val="32"/>
          <w:szCs w:val="32"/>
        </w:rPr>
        <w:t>一、符合下列情形之一的，为特别重大数据安全事件</w:t>
      </w:r>
    </w:p>
    <w:p w14:paraId="55F56264">
      <w:pPr>
        <w:ind w:firstLine="640" w:firstLineChars="200"/>
        <w:rPr>
          <w:rFonts w:eastAsia="仿宋_GB2312"/>
          <w:color w:val="0000CC"/>
          <w:sz w:val="32"/>
          <w:szCs w:val="32"/>
        </w:rPr>
      </w:pPr>
      <w:r>
        <w:rPr>
          <w:rFonts w:hint="eastAsia" w:eastAsia="仿宋_GB2312"/>
          <w:sz w:val="32"/>
          <w:szCs w:val="32"/>
        </w:rPr>
        <w:t>（一）</w:t>
      </w:r>
      <w:r>
        <w:rPr>
          <w:rFonts w:eastAsia="仿宋_GB2312"/>
          <w:sz w:val="32"/>
          <w:szCs w:val="32"/>
        </w:rPr>
        <w:t>重要数据、核心数据遭到篡改、破坏、泄露或者非法获取、非法利用，对国家安全、社会秩序、经济建设和公众利益构成特别严重威胁的；</w:t>
      </w:r>
    </w:p>
    <w:p w14:paraId="6C7C6018">
      <w:pPr>
        <w:ind w:firstLine="640" w:firstLineChars="200"/>
        <w:rPr>
          <w:rFonts w:eastAsia="仿宋_GB2312"/>
          <w:sz w:val="32"/>
          <w:szCs w:val="32"/>
        </w:rPr>
      </w:pPr>
      <w:r>
        <w:rPr>
          <w:rFonts w:hint="eastAsia" w:eastAsia="仿宋_GB2312"/>
          <w:sz w:val="32"/>
          <w:szCs w:val="32"/>
        </w:rPr>
        <w:t>（二）电信领域</w:t>
      </w:r>
      <w:r>
        <w:rPr>
          <w:rFonts w:eastAsia="仿宋_GB2312"/>
          <w:sz w:val="32"/>
          <w:szCs w:val="32"/>
        </w:rPr>
        <w:t>数据遭到篡改、破坏、泄露或者非法获取、非法利用，导致重要网络设施和信息系统、核心网络设施和信息系统运行中断或严重异常，持续时间24小时以上的</w:t>
      </w:r>
      <w:r>
        <w:rPr>
          <w:rFonts w:hint="eastAsia" w:ascii="黑体" w:hAnsi="黑体" w:eastAsia="黑体" w:cs="黑体"/>
          <w:sz w:val="32"/>
          <w:szCs w:val="32"/>
        </w:rPr>
        <w:t>；</w:t>
      </w:r>
    </w:p>
    <w:p w14:paraId="7E990206">
      <w:pPr>
        <w:ind w:firstLine="640" w:firstLineChars="200"/>
        <w:rPr>
          <w:rFonts w:eastAsia="仿宋_GB2312"/>
          <w:color w:val="0000CC"/>
          <w:sz w:val="32"/>
          <w:szCs w:val="32"/>
        </w:rPr>
      </w:pPr>
      <w:r>
        <w:rPr>
          <w:rFonts w:hint="eastAsia" w:eastAsia="仿宋_GB2312"/>
          <w:sz w:val="32"/>
          <w:szCs w:val="32"/>
        </w:rPr>
        <w:t>（三）</w:t>
      </w:r>
      <w:r>
        <w:rPr>
          <w:rFonts w:eastAsia="仿宋_GB2312"/>
          <w:sz w:val="32"/>
          <w:szCs w:val="32"/>
        </w:rPr>
        <w:t>数据遭到篡改、破坏、泄露或者非法获取、非法利用，造成特别重大</w:t>
      </w:r>
      <w:r>
        <w:rPr>
          <w:rFonts w:hint="eastAsia" w:eastAsia="仿宋_GB2312"/>
          <w:sz w:val="32"/>
          <w:szCs w:val="32"/>
        </w:rPr>
        <w:t>直接</w:t>
      </w:r>
      <w:r>
        <w:rPr>
          <w:rFonts w:eastAsia="仿宋_GB2312"/>
          <w:sz w:val="32"/>
          <w:szCs w:val="32"/>
        </w:rPr>
        <w:t>经济损失，损失10亿元（含）以上的；</w:t>
      </w:r>
    </w:p>
    <w:p w14:paraId="77AFC371">
      <w:pPr>
        <w:ind w:firstLine="640" w:firstLineChars="200"/>
        <w:rPr>
          <w:rFonts w:eastAsia="仿宋_GB2312"/>
          <w:sz w:val="32"/>
          <w:szCs w:val="32"/>
        </w:rPr>
      </w:pPr>
      <w:r>
        <w:rPr>
          <w:rFonts w:hint="eastAsia" w:eastAsia="仿宋_GB2312"/>
          <w:sz w:val="32"/>
          <w:szCs w:val="32"/>
        </w:rPr>
        <w:t>（四）</w:t>
      </w:r>
      <w:r>
        <w:rPr>
          <w:rFonts w:eastAsia="仿宋_GB2312"/>
          <w:sz w:val="32"/>
          <w:szCs w:val="32"/>
        </w:rPr>
        <w:t>发生特别严重个人信息安全事件，涉及1亿</w:t>
      </w:r>
      <w:r>
        <w:rPr>
          <w:rFonts w:hint="eastAsia" w:eastAsia="仿宋_GB2312"/>
          <w:sz w:val="32"/>
          <w:szCs w:val="32"/>
        </w:rPr>
        <w:t>人</w:t>
      </w:r>
      <w:r>
        <w:rPr>
          <w:rFonts w:eastAsia="仿宋_GB2312"/>
          <w:sz w:val="32"/>
          <w:szCs w:val="32"/>
        </w:rPr>
        <w:t>（含）以上个人信息或者1000万</w:t>
      </w:r>
      <w:r>
        <w:rPr>
          <w:rFonts w:hint="eastAsia" w:eastAsia="仿宋_GB2312"/>
          <w:sz w:val="32"/>
          <w:szCs w:val="32"/>
        </w:rPr>
        <w:t>人</w:t>
      </w:r>
      <w:r>
        <w:rPr>
          <w:rFonts w:eastAsia="仿宋_GB2312"/>
          <w:sz w:val="32"/>
          <w:szCs w:val="32"/>
        </w:rPr>
        <w:t>（含）以上敏感个人信息的；</w:t>
      </w:r>
    </w:p>
    <w:p w14:paraId="0EEA34AB">
      <w:pPr>
        <w:ind w:firstLine="640" w:firstLineChars="200"/>
        <w:rPr>
          <w:rFonts w:eastAsia="仿宋_GB2312"/>
          <w:sz w:val="32"/>
          <w:szCs w:val="32"/>
        </w:rPr>
      </w:pPr>
      <w:r>
        <w:rPr>
          <w:rFonts w:hint="eastAsia" w:eastAsia="仿宋_GB2312"/>
          <w:sz w:val="32"/>
          <w:szCs w:val="32"/>
        </w:rPr>
        <w:t>（五）</w:t>
      </w:r>
      <w:r>
        <w:rPr>
          <w:rFonts w:eastAsia="仿宋_GB2312"/>
          <w:sz w:val="32"/>
          <w:szCs w:val="32"/>
        </w:rPr>
        <w:t>其他造成或可能造成特别重大危害或影响的。</w:t>
      </w:r>
    </w:p>
    <w:p w14:paraId="0C34CE42">
      <w:pPr>
        <w:ind w:firstLine="566" w:firstLineChars="177"/>
        <w:rPr>
          <w:rFonts w:hint="eastAsia" w:ascii="黑体" w:hAnsi="黑体" w:eastAsia="黑体" w:cs="黑体"/>
          <w:sz w:val="32"/>
          <w:szCs w:val="32"/>
        </w:rPr>
      </w:pPr>
      <w:r>
        <w:rPr>
          <w:rFonts w:hint="eastAsia" w:ascii="黑体" w:hAnsi="黑体" w:eastAsia="黑体" w:cs="黑体"/>
          <w:sz w:val="32"/>
          <w:szCs w:val="32"/>
        </w:rPr>
        <w:t>二、符合下列情形之一的，为重大数据安全事件</w:t>
      </w:r>
    </w:p>
    <w:p w14:paraId="682300B0">
      <w:pPr>
        <w:ind w:firstLine="640" w:firstLineChars="200"/>
        <w:rPr>
          <w:rFonts w:eastAsia="仿宋_GB2312"/>
          <w:sz w:val="32"/>
          <w:szCs w:val="32"/>
        </w:rPr>
      </w:pPr>
      <w:r>
        <w:rPr>
          <w:rFonts w:hint="eastAsia" w:eastAsia="仿宋_GB2312"/>
          <w:sz w:val="32"/>
          <w:szCs w:val="32"/>
        </w:rPr>
        <w:t>（一）</w:t>
      </w:r>
      <w:r>
        <w:rPr>
          <w:rFonts w:eastAsia="仿宋_GB2312"/>
          <w:sz w:val="32"/>
          <w:szCs w:val="32"/>
        </w:rPr>
        <w:t>重要数据遭到篡改、破坏、泄露或者非法获取、非法利用，对国家安全、社会秩序、经济建设和公众利益构成严重威胁的；</w:t>
      </w:r>
    </w:p>
    <w:p w14:paraId="6787D661">
      <w:pPr>
        <w:ind w:firstLine="640" w:firstLineChars="200"/>
        <w:rPr>
          <w:rFonts w:eastAsia="仿宋_GB2312"/>
          <w:sz w:val="32"/>
          <w:szCs w:val="32"/>
        </w:rPr>
      </w:pPr>
      <w:r>
        <w:rPr>
          <w:rFonts w:hint="eastAsia" w:eastAsia="仿宋_GB2312"/>
          <w:sz w:val="32"/>
          <w:szCs w:val="32"/>
        </w:rPr>
        <w:t>（二）电信领域</w:t>
      </w:r>
      <w:r>
        <w:rPr>
          <w:rFonts w:eastAsia="仿宋_GB2312"/>
          <w:sz w:val="32"/>
          <w:szCs w:val="32"/>
        </w:rPr>
        <w:t>数据遭到篡改、破坏、泄露或者非法获取、非法利用，导致重要网络设施和信息系统运行中断或严重异常，持续时间12小时以上的</w:t>
      </w:r>
      <w:r>
        <w:rPr>
          <w:rFonts w:hint="eastAsia" w:ascii="黑体" w:hAnsi="黑体" w:eastAsia="黑体" w:cs="黑体"/>
          <w:sz w:val="32"/>
          <w:szCs w:val="32"/>
        </w:rPr>
        <w:t>；</w:t>
      </w:r>
    </w:p>
    <w:p w14:paraId="2363DC71">
      <w:pPr>
        <w:ind w:firstLine="640" w:firstLineChars="200"/>
        <w:rPr>
          <w:rFonts w:eastAsia="仿宋_GB2312"/>
          <w:color w:val="0000CC"/>
          <w:sz w:val="32"/>
          <w:szCs w:val="32"/>
        </w:rPr>
      </w:pPr>
      <w:r>
        <w:rPr>
          <w:rFonts w:hint="eastAsia" w:eastAsia="仿宋_GB2312"/>
          <w:sz w:val="32"/>
          <w:szCs w:val="32"/>
        </w:rPr>
        <w:t>（三）</w:t>
      </w:r>
      <w:r>
        <w:rPr>
          <w:rFonts w:eastAsia="仿宋_GB2312"/>
          <w:sz w:val="32"/>
          <w:szCs w:val="32"/>
        </w:rPr>
        <w:t>数据遭到篡改、破坏、泄露或者非法获取、非法利用，造成重大</w:t>
      </w:r>
      <w:r>
        <w:rPr>
          <w:rFonts w:hint="eastAsia" w:eastAsia="仿宋_GB2312"/>
          <w:sz w:val="32"/>
          <w:szCs w:val="32"/>
        </w:rPr>
        <w:t>直接</w:t>
      </w:r>
      <w:r>
        <w:rPr>
          <w:rFonts w:eastAsia="仿宋_GB2312"/>
          <w:sz w:val="32"/>
          <w:szCs w:val="32"/>
        </w:rPr>
        <w:t>经济损失，损失1亿元（含）以上10亿元以下的；</w:t>
      </w:r>
    </w:p>
    <w:p w14:paraId="434675C5">
      <w:pPr>
        <w:ind w:firstLine="640" w:firstLineChars="200"/>
        <w:rPr>
          <w:rFonts w:eastAsia="仿宋_GB2312"/>
          <w:color w:val="0000CC"/>
          <w:sz w:val="32"/>
          <w:szCs w:val="32"/>
        </w:rPr>
      </w:pPr>
      <w:r>
        <w:rPr>
          <w:rFonts w:hint="eastAsia" w:eastAsia="仿宋_GB2312"/>
          <w:sz w:val="32"/>
          <w:szCs w:val="32"/>
        </w:rPr>
        <w:t>（四）</w:t>
      </w:r>
      <w:r>
        <w:rPr>
          <w:rFonts w:eastAsia="仿宋_GB2312"/>
          <w:sz w:val="32"/>
          <w:szCs w:val="32"/>
        </w:rPr>
        <w:t>发生严重个人信息安全事件，涉及1000万</w:t>
      </w:r>
      <w:r>
        <w:rPr>
          <w:rFonts w:hint="eastAsia" w:eastAsia="仿宋_GB2312"/>
          <w:sz w:val="32"/>
          <w:szCs w:val="32"/>
        </w:rPr>
        <w:t>人</w:t>
      </w:r>
      <w:r>
        <w:rPr>
          <w:rFonts w:eastAsia="仿宋_GB2312"/>
          <w:sz w:val="32"/>
          <w:szCs w:val="32"/>
        </w:rPr>
        <w:t>（含）以上1亿</w:t>
      </w:r>
      <w:r>
        <w:rPr>
          <w:rFonts w:hint="eastAsia" w:eastAsia="仿宋_GB2312"/>
          <w:sz w:val="32"/>
          <w:szCs w:val="32"/>
        </w:rPr>
        <w:t>人</w:t>
      </w:r>
      <w:r>
        <w:rPr>
          <w:rFonts w:eastAsia="仿宋_GB2312"/>
          <w:sz w:val="32"/>
          <w:szCs w:val="32"/>
        </w:rPr>
        <w:t>以下个人信息或者100万</w:t>
      </w:r>
      <w:r>
        <w:rPr>
          <w:rFonts w:hint="eastAsia" w:eastAsia="仿宋_GB2312"/>
          <w:sz w:val="32"/>
          <w:szCs w:val="32"/>
        </w:rPr>
        <w:t>人</w:t>
      </w:r>
      <w:r>
        <w:rPr>
          <w:rFonts w:eastAsia="仿宋_GB2312"/>
          <w:sz w:val="32"/>
          <w:szCs w:val="32"/>
        </w:rPr>
        <w:t>（含）以上1000万</w:t>
      </w:r>
      <w:r>
        <w:rPr>
          <w:rFonts w:hint="eastAsia" w:eastAsia="仿宋_GB2312"/>
          <w:sz w:val="32"/>
          <w:szCs w:val="32"/>
        </w:rPr>
        <w:t>人</w:t>
      </w:r>
      <w:r>
        <w:rPr>
          <w:rFonts w:eastAsia="仿宋_GB2312"/>
          <w:sz w:val="32"/>
          <w:szCs w:val="32"/>
        </w:rPr>
        <w:t>以下敏感个人信息的；</w:t>
      </w:r>
    </w:p>
    <w:p w14:paraId="4BAA584E">
      <w:pPr>
        <w:ind w:firstLine="640" w:firstLineChars="200"/>
        <w:rPr>
          <w:rFonts w:eastAsia="仿宋_GB2312"/>
          <w:sz w:val="32"/>
          <w:szCs w:val="32"/>
        </w:rPr>
      </w:pPr>
      <w:r>
        <w:rPr>
          <w:rFonts w:hint="eastAsia" w:eastAsia="仿宋_GB2312"/>
          <w:sz w:val="32"/>
          <w:szCs w:val="32"/>
        </w:rPr>
        <w:t>（五）</w:t>
      </w:r>
      <w:r>
        <w:rPr>
          <w:rFonts w:eastAsia="仿宋_GB2312"/>
          <w:sz w:val="32"/>
          <w:szCs w:val="32"/>
        </w:rPr>
        <w:t>其他造成或可能造成重大危害或影响的。</w:t>
      </w:r>
    </w:p>
    <w:p w14:paraId="005C81EB">
      <w:pPr>
        <w:ind w:firstLine="640" w:firstLineChars="200"/>
        <w:rPr>
          <w:rFonts w:hint="eastAsia" w:ascii="楷体_GB2312" w:hAnsi="楷体_GB2312" w:eastAsia="楷体_GB2312" w:cs="楷体_GB2312"/>
          <w:sz w:val="32"/>
          <w:szCs w:val="32"/>
        </w:rPr>
      </w:pPr>
      <w:r>
        <w:rPr>
          <w:rFonts w:hint="eastAsia" w:ascii="黑体" w:hAnsi="黑体" w:eastAsia="黑体" w:cs="黑体"/>
          <w:sz w:val="32"/>
          <w:szCs w:val="32"/>
        </w:rPr>
        <w:t>三、符合下列情形之一的，为较大数据安全事件</w:t>
      </w:r>
    </w:p>
    <w:p w14:paraId="599C8855">
      <w:pPr>
        <w:ind w:firstLine="640" w:firstLineChars="200"/>
        <w:rPr>
          <w:rFonts w:eastAsia="仿宋_GB2312"/>
          <w:sz w:val="32"/>
          <w:szCs w:val="32"/>
        </w:rPr>
      </w:pPr>
      <w:r>
        <w:rPr>
          <w:rFonts w:hint="eastAsia" w:eastAsia="仿宋_GB2312"/>
          <w:sz w:val="32"/>
          <w:szCs w:val="32"/>
        </w:rPr>
        <w:t>（一）</w:t>
      </w:r>
      <w:r>
        <w:rPr>
          <w:rFonts w:eastAsia="仿宋_GB2312"/>
          <w:sz w:val="32"/>
          <w:szCs w:val="32"/>
        </w:rPr>
        <w:t>重要数据或一般数据遭到篡改、破坏、泄露或者非法获取、非法利用，对国家安全、社会秩序、经济建设和公众利益构成较严重威胁的；</w:t>
      </w:r>
    </w:p>
    <w:p w14:paraId="2371A39E">
      <w:pPr>
        <w:ind w:firstLine="640" w:firstLineChars="200"/>
        <w:rPr>
          <w:rFonts w:eastAsia="仿宋_GB2312"/>
          <w:color w:val="0000CC"/>
          <w:sz w:val="32"/>
          <w:szCs w:val="32"/>
        </w:rPr>
      </w:pPr>
      <w:r>
        <w:rPr>
          <w:rFonts w:hint="eastAsia" w:eastAsia="仿宋_GB2312"/>
          <w:sz w:val="32"/>
          <w:szCs w:val="32"/>
        </w:rPr>
        <w:t>（二）电信领域</w:t>
      </w:r>
      <w:r>
        <w:rPr>
          <w:rFonts w:eastAsia="仿宋_GB2312"/>
          <w:sz w:val="32"/>
          <w:szCs w:val="32"/>
        </w:rPr>
        <w:t>数据遭到篡改、破坏、泄露或者非法获取、非法利用，导致相关网络设施和信息系统运行中断或严重异常，持续时间8小时以上的；</w:t>
      </w:r>
    </w:p>
    <w:p w14:paraId="7C6EA9CC">
      <w:pPr>
        <w:ind w:firstLine="640" w:firstLineChars="200"/>
        <w:rPr>
          <w:rFonts w:eastAsia="仿宋_GB2312"/>
          <w:color w:val="0000CC"/>
          <w:sz w:val="32"/>
          <w:szCs w:val="32"/>
        </w:rPr>
      </w:pPr>
      <w:r>
        <w:rPr>
          <w:rFonts w:hint="eastAsia" w:eastAsia="仿宋_GB2312"/>
          <w:sz w:val="32"/>
          <w:szCs w:val="32"/>
        </w:rPr>
        <w:t>（三）</w:t>
      </w:r>
      <w:r>
        <w:rPr>
          <w:rFonts w:eastAsia="仿宋_GB2312"/>
          <w:sz w:val="32"/>
          <w:szCs w:val="32"/>
        </w:rPr>
        <w:t>数据遭到篡改、破坏、泄露或者非法获取、非法利用，造成较重大</w:t>
      </w:r>
      <w:r>
        <w:rPr>
          <w:rFonts w:hint="eastAsia" w:eastAsia="仿宋_GB2312"/>
          <w:sz w:val="32"/>
          <w:szCs w:val="32"/>
        </w:rPr>
        <w:t>直接</w:t>
      </w:r>
      <w:r>
        <w:rPr>
          <w:rFonts w:eastAsia="仿宋_GB2312"/>
          <w:sz w:val="32"/>
          <w:szCs w:val="32"/>
        </w:rPr>
        <w:t>经济损失，损失5000万元（含）以上1亿元以下的；</w:t>
      </w:r>
    </w:p>
    <w:p w14:paraId="4E2EA2C9">
      <w:pPr>
        <w:ind w:firstLine="640" w:firstLineChars="200"/>
      </w:pPr>
      <w:r>
        <w:rPr>
          <w:rFonts w:hint="eastAsia" w:eastAsia="仿宋_GB2312"/>
          <w:sz w:val="32"/>
          <w:szCs w:val="32"/>
        </w:rPr>
        <w:t>（四）</w:t>
      </w:r>
      <w:r>
        <w:rPr>
          <w:rFonts w:eastAsia="仿宋_GB2312"/>
          <w:sz w:val="32"/>
          <w:szCs w:val="32"/>
        </w:rPr>
        <w:t>发生较严重个人信息安全事件，涉及100万</w:t>
      </w:r>
      <w:r>
        <w:rPr>
          <w:rFonts w:hint="eastAsia" w:eastAsia="仿宋_GB2312"/>
          <w:sz w:val="32"/>
          <w:szCs w:val="32"/>
        </w:rPr>
        <w:t>人</w:t>
      </w:r>
      <w:r>
        <w:rPr>
          <w:rFonts w:eastAsia="仿宋_GB2312"/>
          <w:sz w:val="32"/>
          <w:szCs w:val="32"/>
        </w:rPr>
        <w:t>（含）以上1000万</w:t>
      </w:r>
      <w:r>
        <w:rPr>
          <w:rFonts w:hint="eastAsia" w:eastAsia="仿宋_GB2312"/>
          <w:sz w:val="32"/>
          <w:szCs w:val="32"/>
        </w:rPr>
        <w:t>人</w:t>
      </w:r>
      <w:r>
        <w:rPr>
          <w:rFonts w:eastAsia="仿宋_GB2312"/>
          <w:sz w:val="32"/>
          <w:szCs w:val="32"/>
        </w:rPr>
        <w:t>以下个人信息或者10万</w:t>
      </w:r>
      <w:r>
        <w:rPr>
          <w:rFonts w:hint="eastAsia" w:eastAsia="仿宋_GB2312"/>
          <w:sz w:val="32"/>
          <w:szCs w:val="32"/>
        </w:rPr>
        <w:t>人</w:t>
      </w:r>
      <w:r>
        <w:rPr>
          <w:rFonts w:eastAsia="仿宋_GB2312"/>
          <w:sz w:val="32"/>
          <w:szCs w:val="32"/>
        </w:rPr>
        <w:t>（含）以上100万</w:t>
      </w:r>
      <w:r>
        <w:rPr>
          <w:rFonts w:hint="eastAsia" w:eastAsia="仿宋_GB2312"/>
          <w:sz w:val="32"/>
          <w:szCs w:val="32"/>
        </w:rPr>
        <w:t>人</w:t>
      </w:r>
      <w:r>
        <w:rPr>
          <w:rFonts w:eastAsia="仿宋_GB2312"/>
          <w:sz w:val="32"/>
          <w:szCs w:val="32"/>
        </w:rPr>
        <w:t>以下敏感个人信息的；</w:t>
      </w:r>
    </w:p>
    <w:p w14:paraId="58CB86DF">
      <w:pPr>
        <w:ind w:firstLine="640" w:firstLineChars="200"/>
        <w:rPr>
          <w:rFonts w:eastAsia="仿宋_GB2312"/>
          <w:sz w:val="32"/>
          <w:szCs w:val="32"/>
        </w:rPr>
      </w:pPr>
      <w:r>
        <w:rPr>
          <w:rFonts w:hint="eastAsia" w:eastAsia="仿宋_GB2312"/>
          <w:sz w:val="32"/>
          <w:szCs w:val="32"/>
        </w:rPr>
        <w:t>（五）</w:t>
      </w:r>
      <w:r>
        <w:rPr>
          <w:rFonts w:eastAsia="仿宋_GB2312"/>
          <w:sz w:val="32"/>
          <w:szCs w:val="32"/>
        </w:rPr>
        <w:t>其他造成或可能造成较大危害或影响的。</w:t>
      </w:r>
    </w:p>
    <w:p w14:paraId="4DB4B5BC">
      <w:pPr>
        <w:ind w:firstLine="640" w:firstLineChars="200"/>
        <w:rPr>
          <w:rFonts w:hint="eastAsia" w:ascii="黑体" w:hAnsi="黑体" w:eastAsia="黑体" w:cs="黑体"/>
          <w:sz w:val="32"/>
          <w:szCs w:val="32"/>
        </w:rPr>
      </w:pPr>
      <w:r>
        <w:rPr>
          <w:rFonts w:hint="eastAsia" w:ascii="黑体" w:hAnsi="黑体" w:eastAsia="黑体" w:cs="黑体"/>
          <w:sz w:val="32"/>
          <w:szCs w:val="32"/>
        </w:rPr>
        <w:t>四、符合下列情形之一的，为一般数据安全事件</w:t>
      </w:r>
    </w:p>
    <w:p w14:paraId="48CA4A09">
      <w:pPr>
        <w:ind w:firstLine="640" w:firstLineChars="200"/>
        <w:rPr>
          <w:rFonts w:eastAsia="仿宋_GB2312"/>
          <w:sz w:val="32"/>
          <w:szCs w:val="32"/>
        </w:rPr>
      </w:pPr>
      <w:r>
        <w:rPr>
          <w:rFonts w:hint="eastAsia" w:eastAsia="仿宋_GB2312"/>
          <w:sz w:val="32"/>
          <w:szCs w:val="32"/>
        </w:rPr>
        <w:t>（一）</w:t>
      </w:r>
      <w:r>
        <w:rPr>
          <w:rFonts w:eastAsia="仿宋_GB2312"/>
          <w:sz w:val="32"/>
          <w:szCs w:val="32"/>
        </w:rPr>
        <w:t>数据遭到篡改、破坏、泄露或者非法获取、非法利用，对社会秩序、经济建设和公众利益构成较轻威胁的；</w:t>
      </w:r>
    </w:p>
    <w:p w14:paraId="57A2C396">
      <w:pPr>
        <w:ind w:firstLine="640" w:firstLineChars="200"/>
        <w:rPr>
          <w:rFonts w:eastAsia="仿宋_GB2312"/>
          <w:sz w:val="32"/>
          <w:szCs w:val="32"/>
        </w:rPr>
      </w:pPr>
      <w:r>
        <w:rPr>
          <w:rFonts w:hint="eastAsia" w:eastAsia="仿宋_GB2312"/>
          <w:sz w:val="32"/>
          <w:szCs w:val="32"/>
        </w:rPr>
        <w:t>（二）</w:t>
      </w:r>
      <w:r>
        <w:rPr>
          <w:rFonts w:eastAsia="仿宋_GB2312"/>
          <w:sz w:val="32"/>
          <w:szCs w:val="32"/>
        </w:rPr>
        <w:t>数据遭到篡改、破坏、泄露或者非法获取、非法利用，导致相关网络设施</w:t>
      </w:r>
      <w:r>
        <w:rPr>
          <w:rFonts w:hint="eastAsia" w:eastAsia="仿宋_GB2312"/>
          <w:sz w:val="32"/>
          <w:szCs w:val="32"/>
        </w:rPr>
        <w:t>和</w:t>
      </w:r>
      <w:r>
        <w:rPr>
          <w:rFonts w:eastAsia="仿宋_GB2312"/>
          <w:sz w:val="32"/>
          <w:szCs w:val="32"/>
        </w:rPr>
        <w:t>运行中断或严重异常，持续时间8小时以下的；</w:t>
      </w:r>
    </w:p>
    <w:p w14:paraId="0FDC5660">
      <w:pPr>
        <w:ind w:firstLine="640" w:firstLineChars="200"/>
        <w:rPr>
          <w:rFonts w:eastAsia="仿宋_GB2312"/>
          <w:sz w:val="32"/>
          <w:szCs w:val="32"/>
        </w:rPr>
      </w:pPr>
      <w:r>
        <w:rPr>
          <w:rFonts w:hint="eastAsia" w:eastAsia="仿宋_GB2312"/>
          <w:sz w:val="32"/>
          <w:szCs w:val="32"/>
        </w:rPr>
        <w:t>（三）</w:t>
      </w:r>
      <w:r>
        <w:rPr>
          <w:rFonts w:eastAsia="仿宋_GB2312"/>
          <w:sz w:val="32"/>
          <w:szCs w:val="32"/>
        </w:rPr>
        <w:t>数据遭到篡改、破坏、泄露或者非法获取、非法利用，造成</w:t>
      </w:r>
      <w:r>
        <w:rPr>
          <w:rFonts w:hint="eastAsia" w:eastAsia="仿宋_GB2312"/>
          <w:sz w:val="32"/>
          <w:szCs w:val="32"/>
        </w:rPr>
        <w:t>直接</w:t>
      </w:r>
      <w:r>
        <w:rPr>
          <w:rFonts w:eastAsia="仿宋_GB2312"/>
          <w:sz w:val="32"/>
          <w:szCs w:val="32"/>
        </w:rPr>
        <w:t>经济损失5000万元以下的；</w:t>
      </w:r>
    </w:p>
    <w:p w14:paraId="7FE06379">
      <w:pPr>
        <w:ind w:firstLine="640" w:firstLineChars="200"/>
        <w:rPr>
          <w:rFonts w:eastAsia="仿宋_GB2312"/>
          <w:sz w:val="32"/>
          <w:szCs w:val="32"/>
        </w:rPr>
      </w:pPr>
      <w:r>
        <w:rPr>
          <w:rFonts w:hint="eastAsia" w:eastAsia="仿宋_GB2312"/>
          <w:sz w:val="32"/>
          <w:szCs w:val="32"/>
        </w:rPr>
        <w:t>（四）</w:t>
      </w:r>
      <w:r>
        <w:rPr>
          <w:rFonts w:eastAsia="仿宋_GB2312"/>
          <w:sz w:val="32"/>
          <w:szCs w:val="32"/>
        </w:rPr>
        <w:t>发生个人信息安全事件，涉及100万</w:t>
      </w:r>
      <w:r>
        <w:rPr>
          <w:rFonts w:hint="eastAsia" w:eastAsia="仿宋_GB2312"/>
          <w:sz w:val="32"/>
          <w:szCs w:val="32"/>
        </w:rPr>
        <w:t>人</w:t>
      </w:r>
      <w:r>
        <w:rPr>
          <w:rFonts w:eastAsia="仿宋_GB2312"/>
          <w:sz w:val="32"/>
          <w:szCs w:val="32"/>
        </w:rPr>
        <w:t>以下</w:t>
      </w:r>
      <w:r>
        <w:rPr>
          <w:rFonts w:hint="eastAsia" w:eastAsia="仿宋_GB2312"/>
          <w:sz w:val="32"/>
          <w:szCs w:val="32"/>
        </w:rPr>
        <w:t>个人信息</w:t>
      </w:r>
      <w:r>
        <w:rPr>
          <w:rFonts w:eastAsia="仿宋_GB2312"/>
          <w:sz w:val="32"/>
          <w:szCs w:val="32"/>
        </w:rPr>
        <w:t>或者10万</w:t>
      </w:r>
      <w:r>
        <w:rPr>
          <w:rFonts w:hint="eastAsia" w:eastAsia="仿宋_GB2312"/>
          <w:sz w:val="32"/>
          <w:szCs w:val="32"/>
        </w:rPr>
        <w:t>人</w:t>
      </w:r>
      <w:r>
        <w:rPr>
          <w:rFonts w:eastAsia="仿宋_GB2312"/>
          <w:sz w:val="32"/>
          <w:szCs w:val="32"/>
        </w:rPr>
        <w:t>以下敏感个人信息的；</w:t>
      </w:r>
    </w:p>
    <w:p w14:paraId="0AABA937">
      <w:pPr>
        <w:pStyle w:val="3"/>
        <w:spacing w:after="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其他造成或可能造成一般危害或影响的。</w:t>
      </w:r>
    </w:p>
    <w:p w14:paraId="0065AD1D">
      <w:pPr>
        <w:pStyle w:val="3"/>
        <w:spacing w:after="0"/>
        <w:rPr>
          <w:rFonts w:ascii="Times New Roman" w:hAnsi="Times New Roman" w:cs="Times New Roman"/>
        </w:rPr>
      </w:pPr>
    </w:p>
    <w:p w14:paraId="23497C5C">
      <w:pPr>
        <w:pStyle w:val="3"/>
        <w:spacing w:after="0"/>
        <w:rPr>
          <w:rFonts w:ascii="Times New Roman" w:hAnsi="Times New Roman" w:cs="Times New Roman"/>
        </w:rPr>
      </w:pPr>
    </w:p>
    <w:p w14:paraId="41353D44">
      <w:pPr>
        <w:rPr>
          <w:rFonts w:eastAsia="仿宋_GB2312"/>
          <w:sz w:val="32"/>
          <w:szCs w:val="32"/>
        </w:rPr>
      </w:pPr>
    </w:p>
    <w:p w14:paraId="297C97D6">
      <w:pPr>
        <w:rPr>
          <w:rFonts w:eastAsia="仿宋_GB2312"/>
          <w:sz w:val="32"/>
          <w:szCs w:val="32"/>
        </w:rPr>
      </w:pPr>
    </w:p>
    <w:p w14:paraId="61136EE2">
      <w:pPr>
        <w:rPr>
          <w:rFonts w:eastAsia="黑体"/>
          <w:sz w:val="32"/>
          <w:szCs w:val="32"/>
        </w:rPr>
        <w:sectPr>
          <w:footerReference r:id="rId4" w:type="default"/>
          <w:pgSz w:w="11906" w:h="16838"/>
          <w:pgMar w:top="1440" w:right="1800" w:bottom="1440" w:left="1800" w:header="851" w:footer="992" w:gutter="0"/>
          <w:pgNumType w:start="15"/>
          <w:cols w:space="720" w:num="1"/>
          <w:docGrid w:type="lines" w:linePitch="312" w:charSpace="0"/>
        </w:sectPr>
      </w:pPr>
    </w:p>
    <w:p w14:paraId="1A3D3A1B">
      <w:pPr>
        <w:rPr>
          <w:rFonts w:eastAsia="黑体"/>
          <w:sz w:val="32"/>
          <w:szCs w:val="32"/>
        </w:rPr>
      </w:pPr>
      <w:r>
        <w:rPr>
          <w:rFonts w:eastAsia="黑体"/>
          <w:sz w:val="32"/>
          <w:szCs w:val="32"/>
        </w:rPr>
        <w:t>附2</w:t>
      </w:r>
    </w:p>
    <w:p w14:paraId="0CDD7BDB">
      <w:pPr>
        <w:pStyle w:val="3"/>
        <w:spacing w:after="156" w:afterLines="50"/>
        <w:jc w:val="center"/>
        <w:rPr>
          <w:rFonts w:ascii="Times New Roman" w:hAnsi="Times New Roman" w:cs="Times New Roman"/>
        </w:rPr>
      </w:pPr>
      <w:r>
        <w:rPr>
          <w:rFonts w:ascii="Times New Roman" w:hAnsi="Times New Roman" w:eastAsia="方正小标宋简体" w:cs="Times New Roman"/>
          <w:sz w:val="36"/>
          <w:szCs w:val="36"/>
        </w:rPr>
        <w:t>数据安全事件上报（模板）</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587"/>
        <w:gridCol w:w="4028"/>
      </w:tblGrid>
      <w:tr w14:paraId="2630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24" w:type="dxa"/>
            <w:vMerge w:val="restart"/>
            <w:vAlign w:val="center"/>
          </w:tcPr>
          <w:p w14:paraId="416734B0">
            <w:pPr>
              <w:pStyle w:val="3"/>
              <w:spacing w:after="0"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上报单位情况</w:t>
            </w:r>
          </w:p>
        </w:tc>
        <w:tc>
          <w:tcPr>
            <w:tcW w:w="1587" w:type="dxa"/>
          </w:tcPr>
          <w:p w14:paraId="788548B8">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单位全称</w:t>
            </w:r>
          </w:p>
        </w:tc>
        <w:tc>
          <w:tcPr>
            <w:tcW w:w="4028" w:type="dxa"/>
          </w:tcPr>
          <w:p w14:paraId="064D0714">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xx</w:t>
            </w:r>
          </w:p>
        </w:tc>
      </w:tr>
      <w:tr w14:paraId="283B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4EB06D4D">
            <w:pPr>
              <w:pStyle w:val="3"/>
              <w:spacing w:after="0" w:line="420" w:lineRule="exact"/>
              <w:jc w:val="center"/>
              <w:rPr>
                <w:rFonts w:ascii="Times New Roman" w:hAnsi="Times New Roman" w:eastAsia="仿宋_GB2312" w:cs="Times New Roman"/>
                <w:b/>
                <w:bCs/>
                <w:sz w:val="28"/>
                <w:szCs w:val="28"/>
              </w:rPr>
            </w:pPr>
          </w:p>
        </w:tc>
        <w:tc>
          <w:tcPr>
            <w:tcW w:w="1587" w:type="dxa"/>
          </w:tcPr>
          <w:p w14:paraId="79578A47">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4028" w:type="dxa"/>
          </w:tcPr>
          <w:p w14:paraId="1B29BAA8">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xx</w:t>
            </w:r>
          </w:p>
        </w:tc>
      </w:tr>
      <w:tr w14:paraId="5CD7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5FF99370">
            <w:pPr>
              <w:pStyle w:val="3"/>
              <w:spacing w:after="0" w:line="420" w:lineRule="exact"/>
              <w:jc w:val="center"/>
              <w:rPr>
                <w:rFonts w:ascii="Times New Roman" w:hAnsi="Times New Roman" w:eastAsia="仿宋_GB2312" w:cs="Times New Roman"/>
                <w:b/>
                <w:bCs/>
                <w:sz w:val="28"/>
                <w:szCs w:val="28"/>
              </w:rPr>
            </w:pPr>
          </w:p>
        </w:tc>
        <w:tc>
          <w:tcPr>
            <w:tcW w:w="1587" w:type="dxa"/>
          </w:tcPr>
          <w:p w14:paraId="32EB92D0">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4028" w:type="dxa"/>
          </w:tcPr>
          <w:p w14:paraId="38F4D855">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xx（手机号）</w:t>
            </w:r>
          </w:p>
        </w:tc>
      </w:tr>
      <w:tr w14:paraId="3316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restart"/>
            <w:vAlign w:val="center"/>
          </w:tcPr>
          <w:p w14:paraId="147584D8">
            <w:pPr>
              <w:pStyle w:val="3"/>
              <w:spacing w:after="0"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事件基本情况</w:t>
            </w:r>
          </w:p>
        </w:tc>
        <w:tc>
          <w:tcPr>
            <w:tcW w:w="1587" w:type="dxa"/>
          </w:tcPr>
          <w:p w14:paraId="49A80A31">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发生时间</w:t>
            </w:r>
          </w:p>
        </w:tc>
        <w:tc>
          <w:tcPr>
            <w:tcW w:w="4028" w:type="dxa"/>
          </w:tcPr>
          <w:p w14:paraId="1758EA65">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xx年xx月xx日xx时xx分</w:t>
            </w:r>
          </w:p>
        </w:tc>
      </w:tr>
      <w:tr w14:paraId="23AA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06C30321">
            <w:pPr>
              <w:pStyle w:val="3"/>
              <w:spacing w:after="0" w:line="420" w:lineRule="exact"/>
              <w:jc w:val="center"/>
              <w:rPr>
                <w:rFonts w:ascii="Times New Roman" w:hAnsi="Times New Roman" w:eastAsia="仿宋_GB2312" w:cs="Times New Roman"/>
                <w:b/>
                <w:bCs/>
                <w:sz w:val="28"/>
                <w:szCs w:val="28"/>
              </w:rPr>
            </w:pPr>
          </w:p>
        </w:tc>
        <w:tc>
          <w:tcPr>
            <w:tcW w:w="1587" w:type="dxa"/>
            <w:vAlign w:val="center"/>
          </w:tcPr>
          <w:p w14:paraId="4570D455">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获悉渠道</w:t>
            </w:r>
          </w:p>
        </w:tc>
        <w:tc>
          <w:tcPr>
            <w:tcW w:w="4028" w:type="dxa"/>
          </w:tcPr>
          <w:p w14:paraId="0AEAF3B5">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□自主监测发现</w:t>
            </w:r>
          </w:p>
          <w:p w14:paraId="711FF33D">
            <w:pPr>
              <w:pStyle w:val="3"/>
              <w:spacing w:after="0" w:line="42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□网上公开发布（</w:t>
            </w:r>
            <w:r>
              <w:rPr>
                <w:rFonts w:ascii="Times New Roman" w:hAnsi="Times New Roman" w:eastAsia="仿宋_GB2312" w:cs="Times New Roman"/>
                <w:sz w:val="28"/>
                <w:szCs w:val="28"/>
                <w:u w:val="single"/>
              </w:rPr>
              <w:t xml:space="preserve">URL）      </w:t>
            </w:r>
          </w:p>
          <w:p w14:paraId="421F15A0">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□第三方报送（</w:t>
            </w:r>
            <w:r>
              <w:rPr>
                <w:rFonts w:ascii="Times New Roman" w:hAnsi="Times New Roman" w:eastAsia="仿宋_GB2312" w:cs="Times New Roman"/>
                <w:sz w:val="28"/>
                <w:szCs w:val="28"/>
                <w:u w:val="single"/>
              </w:rPr>
              <w:t xml:space="preserve">报送单位）      </w:t>
            </w:r>
          </w:p>
          <w:p w14:paraId="210CD83C">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□其他</w:t>
            </w:r>
            <w:r>
              <w:rPr>
                <w:rFonts w:ascii="Times New Roman" w:hAnsi="Times New Roman" w:eastAsia="仿宋_GB2312" w:cs="Times New Roman"/>
                <w:sz w:val="28"/>
                <w:szCs w:val="28"/>
                <w:u w:val="single"/>
              </w:rPr>
              <w:t xml:space="preserve">xx                     </w:t>
            </w:r>
          </w:p>
        </w:tc>
      </w:tr>
      <w:tr w14:paraId="445B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305362E0">
            <w:pPr>
              <w:pStyle w:val="3"/>
              <w:spacing w:after="0" w:line="420" w:lineRule="exact"/>
              <w:jc w:val="center"/>
              <w:rPr>
                <w:rFonts w:ascii="Times New Roman" w:hAnsi="Times New Roman" w:eastAsia="仿宋_GB2312" w:cs="Times New Roman"/>
                <w:b/>
                <w:bCs/>
                <w:sz w:val="28"/>
                <w:szCs w:val="28"/>
              </w:rPr>
            </w:pPr>
          </w:p>
        </w:tc>
        <w:tc>
          <w:tcPr>
            <w:tcW w:w="1587" w:type="dxa"/>
          </w:tcPr>
          <w:p w14:paraId="2ED959E4">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涉事单位</w:t>
            </w:r>
          </w:p>
        </w:tc>
        <w:tc>
          <w:tcPr>
            <w:tcW w:w="4028" w:type="dxa"/>
          </w:tcPr>
          <w:p w14:paraId="152D34D3">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xx（单位全称）</w:t>
            </w:r>
          </w:p>
        </w:tc>
      </w:tr>
      <w:tr w14:paraId="413F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24" w:type="dxa"/>
            <w:vMerge w:val="continue"/>
            <w:vAlign w:val="center"/>
          </w:tcPr>
          <w:p w14:paraId="63BF2496">
            <w:pPr>
              <w:pStyle w:val="3"/>
              <w:spacing w:after="0" w:line="420" w:lineRule="exact"/>
              <w:jc w:val="center"/>
              <w:rPr>
                <w:rFonts w:ascii="Times New Roman" w:hAnsi="Times New Roman" w:eastAsia="仿宋_GB2312" w:cs="Times New Roman"/>
                <w:b/>
                <w:bCs/>
                <w:sz w:val="28"/>
                <w:szCs w:val="28"/>
              </w:rPr>
            </w:pPr>
          </w:p>
        </w:tc>
        <w:tc>
          <w:tcPr>
            <w:tcW w:w="1587" w:type="dxa"/>
          </w:tcPr>
          <w:p w14:paraId="783EA31A">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事件级别</w:t>
            </w:r>
          </w:p>
        </w:tc>
        <w:tc>
          <w:tcPr>
            <w:tcW w:w="4028" w:type="dxa"/>
          </w:tcPr>
          <w:p w14:paraId="6584619B">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□一般□较大□重大□特别重大</w:t>
            </w:r>
          </w:p>
        </w:tc>
      </w:tr>
      <w:tr w14:paraId="01E4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50CCB717">
            <w:pPr>
              <w:pStyle w:val="3"/>
              <w:spacing w:after="0" w:line="420" w:lineRule="exact"/>
              <w:jc w:val="center"/>
              <w:rPr>
                <w:rFonts w:ascii="Times New Roman" w:hAnsi="Times New Roman" w:eastAsia="仿宋_GB2312" w:cs="Times New Roman"/>
                <w:b/>
                <w:bCs/>
                <w:sz w:val="28"/>
                <w:szCs w:val="28"/>
              </w:rPr>
            </w:pPr>
          </w:p>
        </w:tc>
        <w:tc>
          <w:tcPr>
            <w:tcW w:w="1587" w:type="dxa"/>
            <w:vMerge w:val="restart"/>
            <w:vAlign w:val="center"/>
          </w:tcPr>
          <w:p w14:paraId="14962C61">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涉及系统</w:t>
            </w:r>
          </w:p>
        </w:tc>
        <w:tc>
          <w:tcPr>
            <w:tcW w:w="4028" w:type="dxa"/>
          </w:tcPr>
          <w:p w14:paraId="0061001D">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xx（系统/平台全称）</w:t>
            </w:r>
          </w:p>
        </w:tc>
      </w:tr>
      <w:tr w14:paraId="4178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24" w:type="dxa"/>
            <w:vMerge w:val="continue"/>
            <w:vAlign w:val="center"/>
          </w:tcPr>
          <w:p w14:paraId="1B980CF9">
            <w:pPr>
              <w:pStyle w:val="3"/>
              <w:spacing w:after="0" w:line="420" w:lineRule="exact"/>
              <w:jc w:val="center"/>
              <w:rPr>
                <w:rFonts w:ascii="Times New Roman" w:hAnsi="Times New Roman" w:eastAsia="仿宋_GB2312" w:cs="Times New Roman"/>
                <w:b/>
                <w:bCs/>
                <w:sz w:val="28"/>
                <w:szCs w:val="28"/>
              </w:rPr>
            </w:pPr>
          </w:p>
        </w:tc>
        <w:tc>
          <w:tcPr>
            <w:tcW w:w="1587" w:type="dxa"/>
            <w:vMerge w:val="continue"/>
          </w:tcPr>
          <w:p w14:paraId="2F1381B7">
            <w:pPr>
              <w:pStyle w:val="3"/>
              <w:spacing w:after="0" w:line="420" w:lineRule="exact"/>
              <w:jc w:val="center"/>
              <w:rPr>
                <w:rFonts w:ascii="Times New Roman" w:hAnsi="Times New Roman" w:eastAsia="仿宋_GB2312" w:cs="Times New Roman"/>
                <w:sz w:val="28"/>
                <w:szCs w:val="28"/>
              </w:rPr>
            </w:pPr>
          </w:p>
        </w:tc>
        <w:tc>
          <w:tcPr>
            <w:tcW w:w="4028" w:type="dxa"/>
          </w:tcPr>
          <w:p w14:paraId="1567426A">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IP/域名/URL：xx</w:t>
            </w:r>
          </w:p>
        </w:tc>
      </w:tr>
      <w:tr w14:paraId="21EC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24" w:type="dxa"/>
            <w:vMerge w:val="continue"/>
            <w:vAlign w:val="center"/>
          </w:tcPr>
          <w:p w14:paraId="7C21D843">
            <w:pPr>
              <w:pStyle w:val="3"/>
              <w:spacing w:after="0" w:line="420" w:lineRule="exact"/>
              <w:jc w:val="center"/>
              <w:rPr>
                <w:rFonts w:ascii="Times New Roman" w:hAnsi="Times New Roman" w:eastAsia="仿宋_GB2312" w:cs="Times New Roman"/>
                <w:b/>
                <w:bCs/>
                <w:sz w:val="28"/>
                <w:szCs w:val="28"/>
              </w:rPr>
            </w:pPr>
          </w:p>
        </w:tc>
        <w:tc>
          <w:tcPr>
            <w:tcW w:w="1587" w:type="dxa"/>
          </w:tcPr>
          <w:p w14:paraId="2B20D61B">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事件原因</w:t>
            </w:r>
          </w:p>
        </w:tc>
        <w:tc>
          <w:tcPr>
            <w:tcW w:w="4028" w:type="dxa"/>
          </w:tcPr>
          <w:p w14:paraId="3A5FFAB7">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（简要描述事件发生原因）</w:t>
            </w:r>
          </w:p>
        </w:tc>
      </w:tr>
      <w:tr w14:paraId="7A34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restart"/>
            <w:vAlign w:val="center"/>
          </w:tcPr>
          <w:p w14:paraId="341D9F9E">
            <w:pPr>
              <w:pStyle w:val="3"/>
              <w:spacing w:after="0"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事件涉及数据</w:t>
            </w:r>
          </w:p>
          <w:p w14:paraId="6C1E018D">
            <w:pPr>
              <w:pStyle w:val="3"/>
              <w:spacing w:after="0"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情况</w:t>
            </w:r>
          </w:p>
        </w:tc>
        <w:tc>
          <w:tcPr>
            <w:tcW w:w="1587" w:type="dxa"/>
          </w:tcPr>
          <w:p w14:paraId="66D7F864">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类型</w:t>
            </w:r>
          </w:p>
        </w:tc>
        <w:tc>
          <w:tcPr>
            <w:tcW w:w="4028" w:type="dxa"/>
          </w:tcPr>
          <w:p w14:paraId="2D04402C">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□研发□生产□管理□运维□服务</w:t>
            </w:r>
          </w:p>
        </w:tc>
      </w:tr>
      <w:tr w14:paraId="1B3A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43DF7206">
            <w:pPr>
              <w:pStyle w:val="3"/>
              <w:spacing w:after="0" w:line="420" w:lineRule="exact"/>
              <w:jc w:val="center"/>
              <w:rPr>
                <w:rFonts w:ascii="Times New Roman" w:hAnsi="Times New Roman" w:eastAsia="仿宋_GB2312" w:cs="Times New Roman"/>
                <w:b/>
                <w:bCs/>
                <w:sz w:val="28"/>
                <w:szCs w:val="28"/>
              </w:rPr>
            </w:pPr>
          </w:p>
        </w:tc>
        <w:tc>
          <w:tcPr>
            <w:tcW w:w="1587" w:type="dxa"/>
          </w:tcPr>
          <w:p w14:paraId="6971F2CB">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级别</w:t>
            </w:r>
          </w:p>
        </w:tc>
        <w:tc>
          <w:tcPr>
            <w:tcW w:w="4028" w:type="dxa"/>
          </w:tcPr>
          <w:p w14:paraId="5ACDB72C">
            <w:pPr>
              <w:pStyle w:val="3"/>
              <w:spacing w:after="0" w:line="420" w:lineRule="exact"/>
              <w:rPr>
                <w:rFonts w:ascii="Times New Roman" w:hAnsi="Times New Roman" w:eastAsia="仿宋_GB2312" w:cs="Times New Roman"/>
                <w:b/>
                <w:bCs/>
                <w:sz w:val="28"/>
                <w:szCs w:val="28"/>
              </w:rPr>
            </w:pPr>
            <w:r>
              <w:rPr>
                <w:rFonts w:ascii="Times New Roman" w:hAnsi="Times New Roman" w:eastAsia="仿宋_GB2312" w:cs="Times New Roman"/>
                <w:sz w:val="28"/>
                <w:szCs w:val="28"/>
              </w:rPr>
              <w:t>□一般□重要□核心</w:t>
            </w:r>
          </w:p>
        </w:tc>
      </w:tr>
      <w:tr w14:paraId="3667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611BF1EC">
            <w:pPr>
              <w:pStyle w:val="3"/>
              <w:spacing w:after="0" w:line="420" w:lineRule="exact"/>
              <w:jc w:val="center"/>
              <w:rPr>
                <w:rFonts w:ascii="Times New Roman" w:hAnsi="Times New Roman" w:eastAsia="仿宋_GB2312" w:cs="Times New Roman"/>
                <w:b/>
                <w:bCs/>
                <w:sz w:val="28"/>
                <w:szCs w:val="28"/>
              </w:rPr>
            </w:pPr>
          </w:p>
        </w:tc>
        <w:tc>
          <w:tcPr>
            <w:tcW w:w="1587" w:type="dxa"/>
          </w:tcPr>
          <w:p w14:paraId="2DEDBD16">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规模</w:t>
            </w:r>
          </w:p>
        </w:tc>
        <w:tc>
          <w:tcPr>
            <w:tcW w:w="4028" w:type="dxa"/>
          </w:tcPr>
          <w:p w14:paraId="4CDEC2A2">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xxGB/xx条</w:t>
            </w:r>
          </w:p>
        </w:tc>
      </w:tr>
      <w:tr w14:paraId="7378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7661F8E8">
            <w:pPr>
              <w:pStyle w:val="3"/>
              <w:spacing w:after="0" w:line="420" w:lineRule="exact"/>
              <w:jc w:val="center"/>
              <w:rPr>
                <w:rFonts w:ascii="Times New Roman" w:hAnsi="Times New Roman" w:eastAsia="仿宋_GB2312" w:cs="Times New Roman"/>
                <w:b/>
                <w:bCs/>
                <w:sz w:val="28"/>
                <w:szCs w:val="28"/>
              </w:rPr>
            </w:pPr>
          </w:p>
        </w:tc>
        <w:tc>
          <w:tcPr>
            <w:tcW w:w="1587" w:type="dxa"/>
            <w:vAlign w:val="center"/>
          </w:tcPr>
          <w:p w14:paraId="52EF04D7">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个人信息情况</w:t>
            </w:r>
          </w:p>
        </w:tc>
        <w:tc>
          <w:tcPr>
            <w:tcW w:w="4028" w:type="dxa"/>
          </w:tcPr>
          <w:p w14:paraId="135A897F">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□个人信息xxGB/xx条</w:t>
            </w:r>
          </w:p>
          <w:p w14:paraId="3801AA4E">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□敏感个人信息xxGB/xx条</w:t>
            </w:r>
          </w:p>
          <w:p w14:paraId="2DF5D7F2">
            <w:pPr>
              <w:pStyle w:val="3"/>
              <w:spacing w:after="0" w:line="42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□无</w:t>
            </w:r>
          </w:p>
        </w:tc>
      </w:tr>
      <w:tr w14:paraId="4F21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restart"/>
            <w:vAlign w:val="center"/>
          </w:tcPr>
          <w:p w14:paraId="132F4250">
            <w:pPr>
              <w:pStyle w:val="3"/>
              <w:spacing w:after="0"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事件影响情况</w:t>
            </w:r>
          </w:p>
        </w:tc>
        <w:tc>
          <w:tcPr>
            <w:tcW w:w="1587" w:type="dxa"/>
          </w:tcPr>
          <w:p w14:paraId="1D388EFD">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影响主体</w:t>
            </w:r>
          </w:p>
        </w:tc>
        <w:tc>
          <w:tcPr>
            <w:tcW w:w="4028" w:type="dxa"/>
          </w:tcPr>
          <w:p w14:paraId="2D0A764B">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xx（单位全称）</w:t>
            </w:r>
          </w:p>
        </w:tc>
      </w:tr>
      <w:tr w14:paraId="7C4F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Merge w:val="continue"/>
            <w:vAlign w:val="center"/>
          </w:tcPr>
          <w:p w14:paraId="0241C7FE">
            <w:pPr>
              <w:pStyle w:val="3"/>
              <w:spacing w:after="0" w:line="420" w:lineRule="exact"/>
              <w:jc w:val="center"/>
              <w:rPr>
                <w:rFonts w:ascii="Times New Roman" w:hAnsi="Times New Roman" w:eastAsia="仿宋_GB2312" w:cs="Times New Roman"/>
                <w:b/>
                <w:bCs/>
                <w:sz w:val="28"/>
                <w:szCs w:val="28"/>
              </w:rPr>
            </w:pPr>
          </w:p>
        </w:tc>
        <w:tc>
          <w:tcPr>
            <w:tcW w:w="1587" w:type="dxa"/>
          </w:tcPr>
          <w:p w14:paraId="6EA46F1E">
            <w:pPr>
              <w:pStyle w:val="3"/>
              <w:spacing w:after="0" w:line="4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影响范围</w:t>
            </w:r>
          </w:p>
        </w:tc>
        <w:tc>
          <w:tcPr>
            <w:tcW w:w="4028" w:type="dxa"/>
          </w:tcPr>
          <w:p w14:paraId="4233FD6B">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xx地区/行业</w:t>
            </w:r>
          </w:p>
        </w:tc>
      </w:tr>
      <w:tr w14:paraId="3438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024" w:type="dxa"/>
            <w:vAlign w:val="center"/>
          </w:tcPr>
          <w:p w14:paraId="388D2A1F">
            <w:pPr>
              <w:pStyle w:val="3"/>
              <w:spacing w:after="0" w:line="42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事件处置建议</w:t>
            </w:r>
          </w:p>
        </w:tc>
        <w:tc>
          <w:tcPr>
            <w:tcW w:w="5615" w:type="dxa"/>
            <w:gridSpan w:val="2"/>
            <w:vAlign w:val="center"/>
          </w:tcPr>
          <w:p w14:paraId="7111DEB6">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1.xx</w:t>
            </w:r>
          </w:p>
          <w:p w14:paraId="0C218498">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2.xx</w:t>
            </w:r>
          </w:p>
          <w:p w14:paraId="6BE19E87">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p>
          <w:p w14:paraId="67D89968">
            <w:pPr>
              <w:pStyle w:val="3"/>
              <w:spacing w:after="0" w:line="4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（简要描述事件已采取的措施、拟进一步采取的措施及请求支援事项等。）</w:t>
            </w:r>
          </w:p>
        </w:tc>
      </w:tr>
    </w:tbl>
    <w:p w14:paraId="6E4FF0CF">
      <w:pPr>
        <w:pStyle w:val="3"/>
        <w:spacing w:after="0" w:line="36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签字（或盖章）：</w:t>
      </w:r>
    </w:p>
    <w:p w14:paraId="3B642D8A">
      <w:pPr>
        <w:pStyle w:val="3"/>
        <w:spacing w:after="0" w:line="3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注：1.涉及系统、影响主体和范围等信息不明确的，可填“尚不明确”。</w:t>
      </w:r>
    </w:p>
    <w:p w14:paraId="7D758E76">
      <w:pPr>
        <w:pStyle w:val="3"/>
        <w:spacing w:after="0"/>
        <w:rPr>
          <w:rFonts w:ascii="Times New Roman" w:hAnsi="Times New Roman" w:eastAsia="仿宋_GB2312" w:cs="Times New Roman"/>
          <w:sz w:val="28"/>
          <w:szCs w:val="28"/>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2.重大及以上数据安全事件需上报人签字或上报单位盖章。</w:t>
      </w:r>
    </w:p>
    <w:p w14:paraId="322AD03E">
      <w:pPr>
        <w:rPr>
          <w:rFonts w:eastAsia="黑体"/>
          <w:sz w:val="32"/>
          <w:szCs w:val="32"/>
        </w:rPr>
        <w:sectPr>
          <w:footerReference r:id="rId5" w:type="default"/>
          <w:pgSz w:w="11906" w:h="16838"/>
          <w:pgMar w:top="1440" w:right="1800" w:bottom="1440" w:left="1800" w:header="851" w:footer="992" w:gutter="0"/>
          <w:pgNumType w:start="18"/>
          <w:cols w:space="720" w:num="1"/>
          <w:docGrid w:type="lines" w:linePitch="312" w:charSpace="0"/>
        </w:sectPr>
      </w:pPr>
    </w:p>
    <w:p w14:paraId="44D0DFC9">
      <w:pPr>
        <w:rPr>
          <w:rFonts w:eastAsia="黑体"/>
          <w:sz w:val="32"/>
          <w:szCs w:val="32"/>
        </w:rPr>
      </w:pPr>
      <w:r>
        <w:rPr>
          <w:rFonts w:eastAsia="黑体"/>
          <w:sz w:val="32"/>
          <w:szCs w:val="32"/>
        </w:rPr>
        <w:t>附3</w:t>
      </w:r>
    </w:p>
    <w:p w14:paraId="4AEDFE91">
      <w:pPr>
        <w:pStyle w:val="3"/>
        <w:spacing w:after="0"/>
        <w:jc w:val="left"/>
        <w:rPr>
          <w:rFonts w:ascii="Times New Roman" w:hAnsi="Times New Roman" w:cs="Times New Roman"/>
          <w:sz w:val="32"/>
          <w:szCs w:val="32"/>
        </w:rPr>
      </w:pPr>
    </w:p>
    <w:p w14:paraId="66EBF8B0">
      <w:pPr>
        <w:pStyle w:val="3"/>
        <w:spacing w:after="0"/>
        <w:jc w:val="left"/>
        <w:rPr>
          <w:rFonts w:ascii="Times New Roman" w:hAnsi="Times New Roman" w:cs="Times New Roman"/>
          <w:sz w:val="32"/>
          <w:szCs w:val="32"/>
        </w:rPr>
      </w:pPr>
    </w:p>
    <w:p w14:paraId="40AC306D">
      <w:pPr>
        <w:pStyle w:val="3"/>
        <w:spacing w:after="0"/>
        <w:jc w:val="left"/>
        <w:rPr>
          <w:rFonts w:ascii="Times New Roman" w:hAnsi="Times New Roman" w:cs="Times New Roman"/>
          <w:sz w:val="32"/>
          <w:szCs w:val="32"/>
        </w:rPr>
      </w:pPr>
    </w:p>
    <w:p w14:paraId="4A248E46">
      <w:pPr>
        <w:pStyle w:val="3"/>
        <w:spacing w:after="0"/>
        <w:jc w:val="left"/>
        <w:rPr>
          <w:rFonts w:ascii="Times New Roman" w:hAnsi="Times New Roman" w:cs="Times New Roman"/>
          <w:sz w:val="32"/>
          <w:szCs w:val="32"/>
        </w:rPr>
      </w:pPr>
    </w:p>
    <w:p w14:paraId="1C2509FD">
      <w:pPr>
        <w:jc w:val="center"/>
        <w:rPr>
          <w:rFonts w:eastAsia="方正小标宋简体"/>
          <w:sz w:val="44"/>
          <w:szCs w:val="44"/>
        </w:rPr>
      </w:pPr>
      <w:r>
        <w:rPr>
          <w:rFonts w:eastAsia="方正小标宋简体"/>
          <w:sz w:val="44"/>
          <w:szCs w:val="44"/>
        </w:rPr>
        <w:t>数据安全事件应急处置工作</w:t>
      </w:r>
    </w:p>
    <w:p w14:paraId="1FB82381">
      <w:pPr>
        <w:jc w:val="center"/>
        <w:rPr>
          <w:rFonts w:eastAsia="方正小标宋简体"/>
          <w:sz w:val="44"/>
          <w:szCs w:val="44"/>
        </w:rPr>
      </w:pPr>
      <w:r>
        <w:rPr>
          <w:rFonts w:eastAsia="方正小标宋简体"/>
          <w:sz w:val="44"/>
          <w:szCs w:val="44"/>
        </w:rPr>
        <w:t>总结报告（模板）</w:t>
      </w:r>
    </w:p>
    <w:p w14:paraId="184EA2A6">
      <w:pPr>
        <w:pStyle w:val="3"/>
        <w:spacing w:after="0"/>
        <w:rPr>
          <w:rFonts w:ascii="Times New Roman" w:hAnsi="Times New Roman" w:cs="Times New Roman"/>
          <w:sz w:val="32"/>
          <w:szCs w:val="32"/>
        </w:rPr>
      </w:pPr>
    </w:p>
    <w:p w14:paraId="0CD2E498">
      <w:pPr>
        <w:pStyle w:val="3"/>
        <w:spacing w:after="0"/>
        <w:rPr>
          <w:rFonts w:ascii="Times New Roman" w:hAnsi="Times New Roman" w:cs="Times New Roman"/>
          <w:sz w:val="32"/>
          <w:szCs w:val="32"/>
        </w:rPr>
      </w:pPr>
    </w:p>
    <w:p w14:paraId="13D2974A">
      <w:pPr>
        <w:pStyle w:val="3"/>
        <w:spacing w:after="0"/>
        <w:rPr>
          <w:rFonts w:ascii="Times New Roman" w:hAnsi="Times New Roman" w:cs="Times New Roman"/>
          <w:sz w:val="32"/>
          <w:szCs w:val="32"/>
        </w:rPr>
      </w:pPr>
    </w:p>
    <w:p w14:paraId="7E9ED924">
      <w:pPr>
        <w:pStyle w:val="3"/>
        <w:spacing w:after="0"/>
        <w:rPr>
          <w:rFonts w:ascii="Times New Roman" w:hAnsi="Times New Roman" w:cs="Times New Roman"/>
          <w:sz w:val="32"/>
          <w:szCs w:val="32"/>
        </w:rPr>
      </w:pPr>
    </w:p>
    <w:p w14:paraId="3C9BA701">
      <w:pPr>
        <w:rPr>
          <w:sz w:val="32"/>
          <w:szCs w:val="32"/>
        </w:rPr>
      </w:pPr>
    </w:p>
    <w:p w14:paraId="3E6DEDA9">
      <w:pPr>
        <w:pStyle w:val="3"/>
        <w:spacing w:after="0"/>
        <w:rPr>
          <w:rFonts w:ascii="Times New Roman" w:hAnsi="Times New Roman" w:cs="Times New Roman"/>
          <w:sz w:val="32"/>
          <w:szCs w:val="32"/>
        </w:rPr>
      </w:pPr>
    </w:p>
    <w:p w14:paraId="621CEF17">
      <w:pPr>
        <w:rPr>
          <w:rFonts w:eastAsia="黑体"/>
          <w:sz w:val="32"/>
          <w:szCs w:val="32"/>
          <w:u w:val="single"/>
        </w:rPr>
      </w:pPr>
      <w:r>
        <w:rPr>
          <w:rFonts w:eastAsia="黑体"/>
          <w:sz w:val="32"/>
        </w:rPr>
        <w:t xml:space="preserve">   </w:t>
      </w:r>
      <w:r>
        <w:rPr>
          <w:rFonts w:eastAsia="黑体"/>
          <w:sz w:val="32"/>
          <w:szCs w:val="32"/>
        </w:rPr>
        <w:t xml:space="preserve"> 填 报 单 位：</w:t>
      </w:r>
      <w:r>
        <w:rPr>
          <w:rFonts w:eastAsia="仿宋_GB2312"/>
          <w:sz w:val="32"/>
          <w:szCs w:val="32"/>
          <w:u w:val="single"/>
        </w:rPr>
        <w:t xml:space="preserve">                    （加盖公章）</w:t>
      </w:r>
    </w:p>
    <w:p w14:paraId="7D98E7B8">
      <w:pPr>
        <w:pStyle w:val="3"/>
        <w:spacing w:after="0"/>
        <w:rPr>
          <w:rFonts w:ascii="Times New Roman" w:hAnsi="Times New Roman" w:eastAsia="黑体" w:cs="Times New Roman"/>
          <w:sz w:val="32"/>
          <w:szCs w:val="32"/>
          <w:u w:val="single"/>
        </w:rPr>
      </w:pPr>
      <w:r>
        <w:rPr>
          <w:rFonts w:ascii="Times New Roman" w:hAnsi="Times New Roman" w:eastAsia="黑体" w:cs="Times New Roman"/>
          <w:sz w:val="32"/>
          <w:szCs w:val="32"/>
        </w:rPr>
        <w:t xml:space="preserve">    填 报 日 期：</w:t>
      </w:r>
      <w:r>
        <w:rPr>
          <w:rFonts w:ascii="Times New Roman" w:hAnsi="Times New Roman" w:eastAsia="仿宋_GB2312" w:cs="Times New Roman"/>
          <w:sz w:val="32"/>
          <w:szCs w:val="32"/>
          <w:u w:val="single"/>
        </w:rPr>
        <w:t xml:space="preserve">        年       月     日      </w:t>
      </w:r>
    </w:p>
    <w:p w14:paraId="60C5C72B">
      <w:pPr>
        <w:pStyle w:val="3"/>
        <w:spacing w:after="0"/>
        <w:rPr>
          <w:rFonts w:ascii="Times New Roman" w:hAnsi="Times New Roman" w:eastAsia="黑体" w:cs="Times New Roman"/>
          <w:sz w:val="30"/>
          <w:szCs w:val="30"/>
        </w:rPr>
      </w:pPr>
    </w:p>
    <w:p w14:paraId="5A77CB04">
      <w:pPr>
        <w:pStyle w:val="3"/>
        <w:spacing w:after="0"/>
        <w:rPr>
          <w:rFonts w:ascii="Times New Roman" w:hAnsi="Times New Roman" w:eastAsia="黑体" w:cs="Times New Roman"/>
          <w:sz w:val="30"/>
          <w:szCs w:val="30"/>
        </w:rPr>
      </w:pPr>
    </w:p>
    <w:p w14:paraId="094850DD">
      <w:pPr>
        <w:pStyle w:val="3"/>
        <w:spacing w:after="0"/>
        <w:rPr>
          <w:rFonts w:ascii="Times New Roman" w:hAnsi="Times New Roman" w:cs="Times New Roman"/>
          <w:sz w:val="32"/>
          <w:szCs w:val="32"/>
        </w:rPr>
      </w:pPr>
    </w:p>
    <w:p w14:paraId="2C92ED3D">
      <w:pPr>
        <w:pStyle w:val="3"/>
        <w:spacing w:after="0"/>
        <w:rPr>
          <w:rFonts w:ascii="Times New Roman" w:hAnsi="Times New Roman" w:cs="Times New Roman"/>
          <w:sz w:val="32"/>
          <w:szCs w:val="32"/>
        </w:rPr>
      </w:pPr>
    </w:p>
    <w:p w14:paraId="50821DC8">
      <w:pPr>
        <w:pStyle w:val="3"/>
        <w:spacing w:after="0"/>
        <w:rPr>
          <w:rFonts w:ascii="Times New Roman" w:hAnsi="Times New Roman" w:cs="Times New Roman"/>
          <w:sz w:val="32"/>
          <w:szCs w:val="32"/>
        </w:rPr>
      </w:pPr>
    </w:p>
    <w:p w14:paraId="3869AACD">
      <w:pPr>
        <w:pStyle w:val="3"/>
        <w:spacing w:after="0"/>
        <w:rPr>
          <w:rFonts w:ascii="Times New Roman" w:hAnsi="Times New Roman" w:cs="Times New Roman"/>
          <w:sz w:val="32"/>
          <w:szCs w:val="32"/>
        </w:rPr>
      </w:pPr>
      <w:r>
        <w:rPr>
          <w:rFonts w:ascii="Times New Roman" w:hAnsi="Times New Roman" w:cs="Times New Roman"/>
          <w:sz w:val="32"/>
          <w:szCs w:val="32"/>
        </w:rPr>
        <w:br w:type="page"/>
      </w:r>
    </w:p>
    <w:p w14:paraId="184D78DE">
      <w:pPr>
        <w:jc w:val="center"/>
        <w:rPr>
          <w:rFonts w:eastAsia="方正小标宋简体"/>
          <w:sz w:val="36"/>
          <w:szCs w:val="28"/>
        </w:rPr>
      </w:pPr>
      <w:r>
        <w:rPr>
          <w:rFonts w:eastAsia="方正小标宋简体"/>
          <w:sz w:val="36"/>
          <w:szCs w:val="28"/>
        </w:rPr>
        <w:t>填 写 说 明</w:t>
      </w:r>
    </w:p>
    <w:p w14:paraId="7CE3EAEE">
      <w:pPr>
        <w:pStyle w:val="3"/>
        <w:spacing w:after="0"/>
        <w:rPr>
          <w:rFonts w:ascii="Times New Roman" w:hAnsi="Times New Roman" w:eastAsia="仿宋_GB2312" w:cs="Times New Roman"/>
          <w:sz w:val="32"/>
          <w:szCs w:val="32"/>
        </w:rPr>
      </w:pPr>
    </w:p>
    <w:p w14:paraId="17866BA0">
      <w:pPr>
        <w:ind w:left="105" w:leftChars="50" w:firstLine="480" w:firstLineChars="150"/>
        <w:rPr>
          <w:rFonts w:eastAsia="仿宋_GB2312"/>
          <w:sz w:val="32"/>
          <w:szCs w:val="32"/>
        </w:rPr>
      </w:pPr>
      <w:r>
        <w:rPr>
          <w:rFonts w:eastAsia="仿宋_GB2312"/>
          <w:sz w:val="32"/>
          <w:szCs w:val="32"/>
        </w:rPr>
        <w:t>1. 报告材料应客观、真实，不得弄虚作假，不涉及国家秘密, 填报单位对所提交材料的真实性负责。</w:t>
      </w:r>
    </w:p>
    <w:p w14:paraId="1AAC7395">
      <w:pPr>
        <w:ind w:firstLine="640" w:firstLineChars="200"/>
        <w:rPr>
          <w:rFonts w:eastAsia="仿宋_GB2312"/>
          <w:sz w:val="32"/>
          <w:szCs w:val="32"/>
        </w:rPr>
      </w:pPr>
      <w:r>
        <w:rPr>
          <w:rFonts w:eastAsia="仿宋_GB2312"/>
          <w:sz w:val="32"/>
          <w:szCs w:val="32"/>
        </w:rPr>
        <w:t>2. 本报告除表格外，其他各项填报要求：A4幅面编辑,正文应采用仿宋_GB2312三号字，单倍行间距，两端对齐，一级标题三号黑体，二级标题为三号楷体_GB2312加粗。</w:t>
      </w:r>
    </w:p>
    <w:p w14:paraId="5BD1AAD0">
      <w:pPr>
        <w:ind w:left="105" w:leftChars="50" w:firstLine="480" w:firstLineChars="150"/>
        <w:rPr>
          <w:rFonts w:eastAsia="仿宋_GB2312"/>
          <w:sz w:val="32"/>
          <w:szCs w:val="32"/>
        </w:rPr>
      </w:pPr>
      <w:r>
        <w:rPr>
          <w:rFonts w:eastAsia="仿宋_GB2312"/>
          <w:sz w:val="32"/>
          <w:szCs w:val="32"/>
        </w:rPr>
        <w:t>3. 需在报告首页加盖公章。</w:t>
      </w:r>
    </w:p>
    <w:p w14:paraId="35F8EA7F">
      <w:pPr>
        <w:ind w:left="105" w:leftChars="50" w:firstLine="480" w:firstLineChars="150"/>
        <w:rPr>
          <w:rFonts w:eastAsia="仿宋_GB2312"/>
          <w:sz w:val="32"/>
          <w:szCs w:val="32"/>
        </w:rPr>
        <w:sectPr>
          <w:footerReference r:id="rId6" w:type="default"/>
          <w:pgSz w:w="11906" w:h="16838"/>
          <w:pgMar w:top="1440" w:right="1800" w:bottom="1440" w:left="1800" w:header="851" w:footer="992" w:gutter="0"/>
          <w:pgNumType w:start="19"/>
          <w:cols w:space="720" w:num="1"/>
          <w:docGrid w:type="lines" w:linePitch="312" w:charSpace="0"/>
        </w:sectPr>
      </w:pPr>
      <w:r>
        <w:rPr>
          <w:rFonts w:hint="eastAsia" w:eastAsia="仿宋_GB2312"/>
          <w:sz w:val="32"/>
          <w:szCs w:val="32"/>
        </w:rPr>
        <w:t>4. 本报告未经允许不得公开。</w:t>
      </w:r>
    </w:p>
    <w:p w14:paraId="6C0B0837">
      <w:pPr>
        <w:ind w:firstLine="640" w:firstLineChars="200"/>
        <w:jc w:val="left"/>
        <w:rPr>
          <w:rFonts w:eastAsia="黑体"/>
          <w:sz w:val="32"/>
          <w:szCs w:val="32"/>
        </w:rPr>
      </w:pPr>
      <w:r>
        <w:rPr>
          <w:rFonts w:eastAsia="黑体"/>
          <w:sz w:val="32"/>
          <w:szCs w:val="32"/>
        </w:rPr>
        <w:t>一、事件基本情况</w:t>
      </w:r>
    </w:p>
    <w:p w14:paraId="39010A7A">
      <w:pPr>
        <w:ind w:firstLine="640" w:firstLineChars="200"/>
        <w:rPr>
          <w:rFonts w:eastAsia="仿宋_GB2312"/>
          <w:sz w:val="32"/>
          <w:szCs w:val="32"/>
        </w:rPr>
      </w:pPr>
      <w:r>
        <w:rPr>
          <w:rFonts w:eastAsia="仿宋_GB2312"/>
          <w:sz w:val="32"/>
          <w:szCs w:val="32"/>
        </w:rPr>
        <w:t>（包括数据安全事件的起因、经过、真实性、责任落实等情况，评估事件造成的影响和损失等）</w:t>
      </w:r>
    </w:p>
    <w:p w14:paraId="32A1E6E4">
      <w:pPr>
        <w:ind w:firstLine="640" w:firstLineChars="200"/>
        <w:jc w:val="left"/>
        <w:rPr>
          <w:rFonts w:eastAsia="黑体"/>
          <w:sz w:val="32"/>
          <w:szCs w:val="32"/>
        </w:rPr>
      </w:pPr>
      <w:r>
        <w:rPr>
          <w:rFonts w:eastAsia="黑体"/>
          <w:sz w:val="32"/>
          <w:szCs w:val="32"/>
        </w:rPr>
        <w:t>二、已采取的处置措施</w:t>
      </w:r>
    </w:p>
    <w:p w14:paraId="31DD48FD">
      <w:pPr>
        <w:ind w:firstLine="640" w:firstLineChars="200"/>
        <w:rPr>
          <w:rFonts w:eastAsia="仿宋_GB2312"/>
          <w:sz w:val="32"/>
          <w:szCs w:val="32"/>
        </w:rPr>
      </w:pPr>
      <w:r>
        <w:rPr>
          <w:rFonts w:eastAsia="仿宋_GB2312"/>
          <w:sz w:val="32"/>
          <w:szCs w:val="32"/>
        </w:rPr>
        <w:t>（包括数据处理者在管理制度、技术保护、人员管理等方面采取的处置措施</w:t>
      </w:r>
      <w:r>
        <w:rPr>
          <w:rFonts w:hint="eastAsia" w:eastAsia="仿宋_GB2312"/>
          <w:sz w:val="32"/>
          <w:szCs w:val="32"/>
        </w:rPr>
        <w:t>及针对本次数据安全事件可能造成的危害已采取的应急手段、用户合法权益保护告知情况等</w:t>
      </w:r>
      <w:r>
        <w:rPr>
          <w:rFonts w:eastAsia="仿宋_GB2312"/>
          <w:sz w:val="32"/>
          <w:szCs w:val="32"/>
        </w:rPr>
        <w:t>）</w:t>
      </w:r>
    </w:p>
    <w:p w14:paraId="5BFBBA3C">
      <w:pPr>
        <w:ind w:firstLine="640" w:firstLineChars="200"/>
        <w:jc w:val="left"/>
        <w:rPr>
          <w:rFonts w:eastAsia="黑体"/>
          <w:sz w:val="32"/>
          <w:szCs w:val="32"/>
        </w:rPr>
      </w:pPr>
      <w:r>
        <w:rPr>
          <w:rFonts w:eastAsia="黑体"/>
          <w:sz w:val="32"/>
          <w:szCs w:val="32"/>
        </w:rPr>
        <w:t>三、后续提升改进计划</w:t>
      </w:r>
    </w:p>
    <w:p w14:paraId="3DE08DD5">
      <w:pPr>
        <w:ind w:firstLine="640" w:firstLineChars="200"/>
        <w:rPr>
          <w:rFonts w:eastAsia="仿宋_GB2312"/>
          <w:sz w:val="32"/>
          <w:szCs w:val="32"/>
        </w:rPr>
      </w:pPr>
      <w:r>
        <w:rPr>
          <w:rFonts w:eastAsia="仿宋_GB2312"/>
          <w:sz w:val="32"/>
          <w:szCs w:val="32"/>
        </w:rPr>
        <w:t>（包括针对相关数据安全事件情况，进一步提升数据安全保护能力的相关措施）</w:t>
      </w:r>
    </w:p>
    <w:p w14:paraId="14A92301">
      <w:pPr>
        <w:ind w:firstLine="640" w:firstLineChars="200"/>
        <w:jc w:val="left"/>
        <w:rPr>
          <w:rFonts w:eastAsia="黑体"/>
          <w:sz w:val="32"/>
          <w:szCs w:val="32"/>
        </w:rPr>
      </w:pPr>
      <w:r>
        <w:rPr>
          <w:rFonts w:eastAsia="黑体"/>
          <w:sz w:val="32"/>
          <w:szCs w:val="32"/>
        </w:rPr>
        <w:t>四、工作经验总结</w:t>
      </w:r>
    </w:p>
    <w:p w14:paraId="7021996A">
      <w:pPr>
        <w:ind w:firstLine="640" w:firstLineChars="200"/>
        <w:rPr>
          <w:rFonts w:eastAsia="仿宋_GB2312"/>
          <w:sz w:val="32"/>
          <w:szCs w:val="32"/>
        </w:rPr>
      </w:pPr>
      <w:r>
        <w:rPr>
          <w:rFonts w:eastAsia="仿宋_GB2312"/>
          <w:sz w:val="32"/>
          <w:szCs w:val="32"/>
        </w:rPr>
        <w:t>（针对此类数据安全事件，总结分析事件防范和应急处置工作的经验教训等）</w:t>
      </w:r>
    </w:p>
    <w:p w14:paraId="38C2E6FC">
      <w:pPr>
        <w:ind w:firstLine="640" w:firstLineChars="200"/>
        <w:jc w:val="left"/>
        <w:rPr>
          <w:rFonts w:eastAsia="黑体"/>
          <w:sz w:val="32"/>
          <w:szCs w:val="32"/>
        </w:rPr>
      </w:pPr>
      <w:r>
        <w:rPr>
          <w:rFonts w:eastAsia="黑体"/>
          <w:sz w:val="32"/>
          <w:szCs w:val="32"/>
        </w:rPr>
        <w:t>五、其他事项</w:t>
      </w:r>
    </w:p>
    <w:p w14:paraId="299CD848">
      <w:pPr>
        <w:ind w:firstLine="640" w:firstLineChars="200"/>
        <w:rPr>
          <w:rFonts w:eastAsia="仿宋_GB2312"/>
          <w:sz w:val="32"/>
          <w:szCs w:val="32"/>
        </w:rPr>
      </w:pPr>
      <w:r>
        <w:rPr>
          <w:rFonts w:eastAsia="仿宋_GB2312"/>
          <w:sz w:val="32"/>
          <w:szCs w:val="32"/>
        </w:rPr>
        <w:t>（其他需补充说明的事项）</w:t>
      </w:r>
    </w:p>
    <w:p w14:paraId="2F02B3EB">
      <w:pPr>
        <w:pStyle w:val="3"/>
        <w:spacing w:after="0"/>
        <w:rPr>
          <w:rFonts w:ascii="Times New Roman" w:hAnsi="Times New Roman" w:eastAsia="仿宋_GB2312" w:cs="Times New Roman"/>
          <w:b/>
          <w:bCs/>
          <w:sz w:val="32"/>
          <w:szCs w:val="32"/>
        </w:rPr>
      </w:pPr>
    </w:p>
    <w:p w14:paraId="62331A9E">
      <w:pPr>
        <w:pStyle w:val="3"/>
        <w:spacing w:after="0"/>
        <w:ind w:firstLine="643" w:firstLineChars="200"/>
        <w:rPr>
          <w:rFonts w:ascii="Times New Roman" w:hAnsi="Times New Roman" w:cs="Times New Roman"/>
        </w:rPr>
      </w:pPr>
      <w:r>
        <w:rPr>
          <w:rFonts w:ascii="Times New Roman" w:hAnsi="Times New Roman" w:eastAsia="仿宋_GB2312" w:cs="Times New Roman"/>
          <w:b/>
          <w:bCs/>
          <w:sz w:val="32"/>
          <w:szCs w:val="32"/>
        </w:rPr>
        <w:t>注：</w:t>
      </w:r>
      <w:r>
        <w:rPr>
          <w:rFonts w:ascii="Times New Roman" w:hAnsi="Times New Roman" w:eastAsia="仿宋_GB2312" w:cs="Times New Roman"/>
          <w:sz w:val="32"/>
          <w:szCs w:val="32"/>
        </w:rPr>
        <w:t>请随附数据安全事件应急处置相关证明材料</w:t>
      </w:r>
    </w:p>
    <w:p w14:paraId="0E55AC44"/>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E04FED-518A-467F-A333-B894924B99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E4C858-6A32-4B78-BB22-39C6F0F35D88}"/>
  </w:font>
  <w:font w:name="等线">
    <w:panose1 w:val="02010600030101010101"/>
    <w:charset w:val="86"/>
    <w:family w:val="auto"/>
    <w:pitch w:val="default"/>
    <w:sig w:usb0="A00002BF" w:usb1="38CF7CFA" w:usb2="00000016" w:usb3="00000000" w:csb0="0004000F" w:csb1="00000000"/>
    <w:embedRegular r:id="rId3" w:fontKey="{7FE9DEEC-1273-44EC-97AD-5A422713B82A}"/>
  </w:font>
  <w:font w:name="仿宋_GB2312">
    <w:panose1 w:val="02010609030101010101"/>
    <w:charset w:val="86"/>
    <w:family w:val="modern"/>
    <w:pitch w:val="default"/>
    <w:sig w:usb0="00000001" w:usb1="080E0000" w:usb2="00000000" w:usb3="00000000" w:csb0="00040000" w:csb1="00000000"/>
    <w:embedRegular r:id="rId4" w:fontKey="{B1A7CF09-EEA0-4C58-A57F-9CD70E5438D7}"/>
  </w:font>
  <w:font w:name="方正小标宋简体">
    <w:panose1 w:val="02000000000000000000"/>
    <w:charset w:val="86"/>
    <w:family w:val="auto"/>
    <w:pitch w:val="default"/>
    <w:sig w:usb0="00000001" w:usb1="08000000" w:usb2="00000000" w:usb3="00000000" w:csb0="00040000" w:csb1="00000000"/>
    <w:embedRegular r:id="rId5" w:fontKey="{5579E585-52D0-46CB-8060-98DD2B4DAA13}"/>
  </w:font>
  <w:font w:name="楷体_GB2312">
    <w:panose1 w:val="02010609030101010101"/>
    <w:charset w:val="86"/>
    <w:family w:val="modern"/>
    <w:pitch w:val="default"/>
    <w:sig w:usb0="00000001" w:usb1="080E0000" w:usb2="00000000" w:usb3="00000000" w:csb0="00040000" w:csb1="00000000"/>
    <w:embedRegular r:id="rId6" w:fontKey="{DEFAB25C-C1F6-47D6-A77B-D2BA8FEFC8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658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65FD3">
                          <w:pPr>
                            <w:snapToGrid w:val="0"/>
                            <w:rPr>
                              <w:rFonts w:hint="eastAsia" w:ascii="宋体" w:hAnsi="宋体" w:cs="宋体"/>
                              <w:sz w:val="24"/>
                              <w:szCs w:val="24"/>
                            </w:rPr>
                          </w:pPr>
                          <w:r>
                            <w:rPr>
                              <w:rFonts w:ascii="宋体" w:hAnsi="宋体" w:cs="宋体"/>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ascii="宋体" w:hAnsi="宋体" w:cs="宋体"/>
                              <w:sz w:val="24"/>
                              <w:szCs w:val="24"/>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0865FD3">
                    <w:pPr>
                      <w:snapToGrid w:val="0"/>
                      <w:rPr>
                        <w:rFonts w:hint="eastAsia" w:ascii="宋体" w:hAnsi="宋体" w:cs="宋体"/>
                        <w:sz w:val="24"/>
                        <w:szCs w:val="24"/>
                      </w:rPr>
                    </w:pPr>
                    <w:r>
                      <w:rPr>
                        <w:rFonts w:ascii="宋体" w:hAnsi="宋体" w:cs="宋体"/>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rPr>
                        <w:rFonts w:ascii="宋体" w:hAnsi="宋体" w:cs="宋体"/>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CF409">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71F54D">
                          <w:pPr>
                            <w:snapToGrid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4</w:t>
                          </w:r>
                          <w:r>
                            <w:rPr>
                              <w:rFonts w:hint="eastAsia" w:ascii="宋体" w:hAnsi="宋体" w:cs="宋体"/>
                              <w:sz w:val="24"/>
                              <w:szCs w:val="24"/>
                            </w:rPr>
                            <w:fldChar w:fldCharType="end"/>
                          </w:r>
                          <w:r>
                            <w:rPr>
                              <w:rFonts w:ascii="宋体" w:hAnsi="宋体" w:cs="宋体"/>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671F54D">
                    <w:pPr>
                      <w:snapToGrid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4</w:t>
                    </w:r>
                    <w:r>
                      <w:rPr>
                        <w:rFonts w:hint="eastAsia"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D1D8">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A001A8">
                          <w:pPr>
                            <w:snapToGrid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4</w:t>
                          </w:r>
                          <w:r>
                            <w:rPr>
                              <w:rFonts w:hint="eastAsia" w:ascii="宋体" w:hAnsi="宋体" w:cs="宋体"/>
                              <w:sz w:val="24"/>
                              <w:szCs w:val="24"/>
                            </w:rPr>
                            <w:fldChar w:fldCharType="end"/>
                          </w:r>
                          <w:r>
                            <w:rPr>
                              <w:rFonts w:ascii="宋体" w:hAnsi="宋体" w:cs="宋体"/>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7FA001A8">
                    <w:pPr>
                      <w:snapToGrid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4</w:t>
                    </w:r>
                    <w:r>
                      <w:rPr>
                        <w:rFonts w:hint="eastAsia"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FF3D">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A852EF">
                          <w:pPr>
                            <w:snapToGrid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4</w:t>
                          </w:r>
                          <w:r>
                            <w:rPr>
                              <w:rFonts w:hint="eastAsia" w:ascii="宋体" w:hAnsi="宋体" w:cs="宋体"/>
                              <w:sz w:val="24"/>
                              <w:szCs w:val="24"/>
                            </w:rPr>
                            <w:fldChar w:fldCharType="end"/>
                          </w:r>
                          <w:r>
                            <w:rPr>
                              <w:rFonts w:ascii="宋体" w:hAnsi="宋体" w:cs="宋体"/>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0A852EF">
                    <w:pPr>
                      <w:snapToGrid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4</w:t>
                    </w:r>
                    <w:r>
                      <w:rPr>
                        <w:rFonts w:hint="eastAsia"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264B">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15095">
                          <w:pPr>
                            <w:snapToGrid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4</w:t>
                          </w:r>
                          <w:r>
                            <w:rPr>
                              <w:rFonts w:hint="eastAsia" w:ascii="宋体" w:hAnsi="宋体" w:cs="宋体"/>
                              <w:sz w:val="24"/>
                              <w:szCs w:val="24"/>
                            </w:rPr>
                            <w:fldChar w:fldCharType="end"/>
                          </w:r>
                          <w:r>
                            <w:rPr>
                              <w:rFonts w:ascii="宋体" w:hAnsi="宋体" w:cs="宋体"/>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3B15095">
                    <w:pPr>
                      <w:snapToGrid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4</w:t>
                    </w:r>
                    <w:r>
                      <w:rPr>
                        <w:rFonts w:hint="eastAsia"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OTg1NTg0MzExMTBkNWEzOTU1NWU3MmU4NTBhMjcifQ=="/>
  </w:docVars>
  <w:rsids>
    <w:rsidRoot w:val="002609BE"/>
    <w:rsid w:val="001425BD"/>
    <w:rsid w:val="00153F56"/>
    <w:rsid w:val="00167CEE"/>
    <w:rsid w:val="001B5D9F"/>
    <w:rsid w:val="001C1569"/>
    <w:rsid w:val="001E7A87"/>
    <w:rsid w:val="001F06A9"/>
    <w:rsid w:val="00214EDB"/>
    <w:rsid w:val="00250627"/>
    <w:rsid w:val="00255C14"/>
    <w:rsid w:val="002609BE"/>
    <w:rsid w:val="002C2C7E"/>
    <w:rsid w:val="002D0A25"/>
    <w:rsid w:val="002D4D6B"/>
    <w:rsid w:val="003325E3"/>
    <w:rsid w:val="00345DF0"/>
    <w:rsid w:val="00376B4A"/>
    <w:rsid w:val="003D2F65"/>
    <w:rsid w:val="004A6481"/>
    <w:rsid w:val="00591F5E"/>
    <w:rsid w:val="006314CD"/>
    <w:rsid w:val="00647428"/>
    <w:rsid w:val="0068404D"/>
    <w:rsid w:val="006D082E"/>
    <w:rsid w:val="00701B13"/>
    <w:rsid w:val="007A4ABE"/>
    <w:rsid w:val="00827C5E"/>
    <w:rsid w:val="00882BBC"/>
    <w:rsid w:val="00921564"/>
    <w:rsid w:val="009648C6"/>
    <w:rsid w:val="0098392E"/>
    <w:rsid w:val="009C513C"/>
    <w:rsid w:val="00AB36B6"/>
    <w:rsid w:val="00C36905"/>
    <w:rsid w:val="00CF4305"/>
    <w:rsid w:val="00D053D9"/>
    <w:rsid w:val="00D1088B"/>
    <w:rsid w:val="00D6574F"/>
    <w:rsid w:val="00DD3E96"/>
    <w:rsid w:val="00DE1166"/>
    <w:rsid w:val="00DE4B02"/>
    <w:rsid w:val="00DF12D6"/>
    <w:rsid w:val="00E96F62"/>
    <w:rsid w:val="00EA20D4"/>
    <w:rsid w:val="00EC2279"/>
    <w:rsid w:val="00F03CB6"/>
    <w:rsid w:val="00F64005"/>
    <w:rsid w:val="00F706A4"/>
    <w:rsid w:val="014A4B87"/>
    <w:rsid w:val="05575B64"/>
    <w:rsid w:val="05DB66F5"/>
    <w:rsid w:val="073861C2"/>
    <w:rsid w:val="09527B2C"/>
    <w:rsid w:val="0B8F6E4C"/>
    <w:rsid w:val="0DC53787"/>
    <w:rsid w:val="0F98640D"/>
    <w:rsid w:val="10066B98"/>
    <w:rsid w:val="1106123C"/>
    <w:rsid w:val="130E34BC"/>
    <w:rsid w:val="13E93B22"/>
    <w:rsid w:val="145C3DC3"/>
    <w:rsid w:val="14D72A6E"/>
    <w:rsid w:val="19087C82"/>
    <w:rsid w:val="19F618F8"/>
    <w:rsid w:val="1B7F557F"/>
    <w:rsid w:val="1E560BB7"/>
    <w:rsid w:val="1F1E3599"/>
    <w:rsid w:val="1F6D4EA2"/>
    <w:rsid w:val="22E76282"/>
    <w:rsid w:val="23080BBE"/>
    <w:rsid w:val="2366189C"/>
    <w:rsid w:val="26896454"/>
    <w:rsid w:val="271B3826"/>
    <w:rsid w:val="28884063"/>
    <w:rsid w:val="2EB45BB2"/>
    <w:rsid w:val="2EDE3D16"/>
    <w:rsid w:val="35906305"/>
    <w:rsid w:val="35D00DF7"/>
    <w:rsid w:val="36206E51"/>
    <w:rsid w:val="37481F9C"/>
    <w:rsid w:val="39BC73C2"/>
    <w:rsid w:val="3A3D7872"/>
    <w:rsid w:val="3A940645"/>
    <w:rsid w:val="3AE55345"/>
    <w:rsid w:val="3F8A64BB"/>
    <w:rsid w:val="404E64E0"/>
    <w:rsid w:val="4056689F"/>
    <w:rsid w:val="4321422E"/>
    <w:rsid w:val="43BC29BB"/>
    <w:rsid w:val="469A5235"/>
    <w:rsid w:val="493F20C4"/>
    <w:rsid w:val="4A981374"/>
    <w:rsid w:val="4C1633E8"/>
    <w:rsid w:val="4CD3324F"/>
    <w:rsid w:val="4CE43A2D"/>
    <w:rsid w:val="506405D6"/>
    <w:rsid w:val="516E23CE"/>
    <w:rsid w:val="51EA4D78"/>
    <w:rsid w:val="520858AB"/>
    <w:rsid w:val="53225BCC"/>
    <w:rsid w:val="53375F0D"/>
    <w:rsid w:val="54597096"/>
    <w:rsid w:val="55DE1D7C"/>
    <w:rsid w:val="56C13637"/>
    <w:rsid w:val="587A4EC7"/>
    <w:rsid w:val="5A2D1518"/>
    <w:rsid w:val="5A7B7984"/>
    <w:rsid w:val="5C575EA1"/>
    <w:rsid w:val="5F3C008B"/>
    <w:rsid w:val="5F553F98"/>
    <w:rsid w:val="5F7A0282"/>
    <w:rsid w:val="5FA22F25"/>
    <w:rsid w:val="5FB77DFB"/>
    <w:rsid w:val="5FFFFA15"/>
    <w:rsid w:val="62586279"/>
    <w:rsid w:val="639217AA"/>
    <w:rsid w:val="63DC4C88"/>
    <w:rsid w:val="64A532CB"/>
    <w:rsid w:val="678E5172"/>
    <w:rsid w:val="68A269FB"/>
    <w:rsid w:val="6B5E086B"/>
    <w:rsid w:val="6BEB1F0C"/>
    <w:rsid w:val="6D1A3F3C"/>
    <w:rsid w:val="6D4D2752"/>
    <w:rsid w:val="6E336671"/>
    <w:rsid w:val="6ED009F9"/>
    <w:rsid w:val="731E38AE"/>
    <w:rsid w:val="773C7ABF"/>
    <w:rsid w:val="78EE303B"/>
    <w:rsid w:val="7CF77FE5"/>
    <w:rsid w:val="7E290672"/>
    <w:rsid w:val="7EEFCD7E"/>
    <w:rsid w:val="7F74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ody Text"/>
    <w:basedOn w:val="1"/>
    <w:link w:val="14"/>
    <w:unhideWhenUsed/>
    <w:qFormat/>
    <w:uiPriority w:val="99"/>
    <w:pPr>
      <w:spacing w:after="120"/>
    </w:pPr>
    <w:rPr>
      <w:rFonts w:ascii="等线" w:hAnsi="等线" w:eastAsia="等线" w:cs="黑体"/>
      <w:szCs w:val="22"/>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annotation reference"/>
    <w:unhideWhenUsed/>
    <w:qFormat/>
    <w:uiPriority w:val="99"/>
    <w:rPr>
      <w:sz w:val="21"/>
      <w:szCs w:val="21"/>
    </w:rPr>
  </w:style>
  <w:style w:type="character" w:customStyle="1" w:styleId="10">
    <w:name w:val="页眉 字符"/>
    <w:basedOn w:val="8"/>
    <w:link w:val="5"/>
    <w:qFormat/>
    <w:uiPriority w:val="0"/>
    <w:rPr>
      <w:rFonts w:ascii="Times New Roman" w:hAnsi="Times New Roman" w:eastAsia="宋体" w:cs="Times New Roman"/>
      <w:kern w:val="2"/>
      <w:sz w:val="18"/>
      <w:szCs w:val="18"/>
    </w:rPr>
  </w:style>
  <w:style w:type="character" w:customStyle="1" w:styleId="11">
    <w:name w:val="批注文字 字符"/>
    <w:basedOn w:val="8"/>
    <w:link w:val="2"/>
    <w:qFormat/>
    <w:uiPriority w:val="99"/>
    <w:rPr>
      <w:rFonts w:ascii="Times New Roman" w:hAnsi="Times New Roman" w:eastAsia="宋体" w:cs="Times New Roman"/>
      <w:kern w:val="2"/>
      <w:sz w:val="21"/>
    </w:rPr>
  </w:style>
  <w:style w:type="character" w:customStyle="1" w:styleId="12">
    <w:name w:val="批注主题 字符"/>
    <w:basedOn w:val="11"/>
    <w:link w:val="6"/>
    <w:qFormat/>
    <w:uiPriority w:val="0"/>
    <w:rPr>
      <w:rFonts w:ascii="Times New Roman" w:hAnsi="Times New Roman" w:eastAsia="宋体" w:cs="Times New Roman"/>
      <w:b/>
      <w:bCs/>
      <w:kern w:val="2"/>
      <w:sz w:val="21"/>
    </w:rPr>
  </w:style>
  <w:style w:type="paragraph" w:styleId="13">
    <w:name w:val="List Paragraph"/>
    <w:basedOn w:val="1"/>
    <w:unhideWhenUsed/>
    <w:qFormat/>
    <w:uiPriority w:val="99"/>
    <w:pPr>
      <w:ind w:firstLine="420" w:firstLineChars="200"/>
    </w:pPr>
  </w:style>
  <w:style w:type="character" w:customStyle="1" w:styleId="14">
    <w:name w:val="正文文本 字符"/>
    <w:basedOn w:val="8"/>
    <w:link w:val="3"/>
    <w:qFormat/>
    <w:uiPriority w:val="99"/>
    <w:rPr>
      <w:rFonts w:ascii="等线" w:hAnsi="等线" w:eastAsia="等线"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7253</Words>
  <Characters>7486</Characters>
  <Lines>55</Lines>
  <Paragraphs>15</Paragraphs>
  <TotalTime>22</TotalTime>
  <ScaleCrop>false</ScaleCrop>
  <LinksUpToDate>false</LinksUpToDate>
  <CharactersWithSpaces>7612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2024-12-06T18:41:00Z</dcterms:created>
  <dc:creator>HP</dc:creator>
  <cp:lastModifiedBy>同部原文</cp:lastModifiedBy>
  <cp:lastPrinted>2024-12-30T03:25:00Z</cp:lastPrinted>
  <dcterms:modified xsi:type="dcterms:W3CDTF">2025-01-06T07:10:47Z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57AB64F0C811487487A978BA8D8AB986_13</vt:lpwstr>
  </property>
  <property fmtid="{D5CDD505-2E9C-101B-9397-08002B2CF9AE}" pid="4" name="KSOTemplateDocerSaveRecord">
    <vt:lpwstr>eyJoZGlkIjoiNDRiYzRiYTMxMzRkODlkOTBmMWZlY2M2Y2E1ZmZjZGMiLCJ1c2VySWQiOiIzODExOTI3MDYifQ==</vt:lpwstr>
  </property>
</Properties>
</file>