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5D2C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" w:line="560" w:lineRule="exact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附件2</w:t>
      </w:r>
    </w:p>
    <w:p w14:paraId="750208D1">
      <w:pPr>
        <w:spacing w:before="132" w:line="542" w:lineRule="exact"/>
        <w:jc w:val="center"/>
        <w:rPr>
          <w:rFonts w:hint="eastAsia" w:ascii="方正小标宋简体" w:hAnsi="方正小标宋简体" w:eastAsia="方正小标宋简体" w:cs="方正小标宋简体"/>
          <w:spacing w:val="9"/>
          <w:position w:val="4"/>
          <w:sz w:val="44"/>
          <w:szCs w:val="44"/>
        </w:rPr>
      </w:pPr>
    </w:p>
    <w:p w14:paraId="24FC2A84">
      <w:pPr>
        <w:spacing w:before="132" w:line="542" w:lineRule="exact"/>
        <w:jc w:val="center"/>
        <w:rPr>
          <w:rFonts w:hint="eastAsia" w:ascii="方正小标宋简体" w:hAnsi="方正小标宋简体" w:eastAsia="方正小标宋简体" w:cs="方正小标宋简体"/>
          <w:spacing w:val="9"/>
          <w:position w:val="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9"/>
          <w:position w:val="4"/>
          <w:sz w:val="44"/>
          <w:szCs w:val="44"/>
        </w:rPr>
        <w:t>信息通信行业防范治理电信网络诈骗典型</w:t>
      </w:r>
    </w:p>
    <w:p w14:paraId="4119EC40">
      <w:pPr>
        <w:spacing w:before="132" w:line="542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9"/>
          <w:position w:val="4"/>
          <w:sz w:val="44"/>
          <w:szCs w:val="44"/>
        </w:rPr>
        <w:t>案例申报要求</w:t>
      </w:r>
    </w:p>
    <w:p w14:paraId="6FCFF90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8" w:line="560" w:lineRule="exact"/>
        <w:ind w:left="23" w:right="68" w:firstLine="635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61B1DCA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8" w:line="560" w:lineRule="exact"/>
        <w:ind w:left="23" w:right="68" w:firstLine="635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为贯彻落实《中华人民共和国反电信网络诈骗法》，统筹推进信息通信行业防范治理电信网络诈骗工作，提升行业反诈治理能力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，现组织开展 2026 年信息通信行业防范治理电信网络诈骗典型案例征集工作。</w:t>
      </w:r>
    </w:p>
    <w:p w14:paraId="4BFE1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560" w:lineRule="exact"/>
        <w:ind w:left="672"/>
        <w:jc w:val="left"/>
        <w:textAlignment w:val="auto"/>
        <w:rPr>
          <w:rFonts w:ascii="黑体" w:hAnsi="黑体" w:eastAsia="黑体" w:cs="黑体"/>
          <w:spacing w:val="7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一、征集内容</w:t>
      </w:r>
    </w:p>
    <w:p w14:paraId="3B2DA2D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" w:line="560" w:lineRule="exact"/>
        <w:ind w:left="23" w:right="68" w:firstLine="635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面向基础电信企业、互联网企业、移动智能终端企业等，征集一批技术优、实战好、易推广的典型案例， 以点带面，推动反诈工作提质增效。主要包括五个重点方向：</w:t>
      </w:r>
    </w:p>
    <w:p w14:paraId="3CFB1A1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line="560" w:lineRule="exact"/>
        <w:ind w:left="34" w:right="89" w:firstLine="625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14"/>
          <w:sz w:val="32"/>
          <w:szCs w:val="32"/>
        </w:rPr>
        <w:t>（一）电话用户实名制管理。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聚焦电话卡、物联网卡、中间号、短信端口等电信业务基础管理和涉诈风险防范等方向，征集异常办卡行为监测、物联网卡异常使用识别、中间号涉诈风险防控、短信端口涉诈引流识别处置等方面的典型案例。</w:t>
      </w:r>
    </w:p>
    <w:p w14:paraId="318E274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560" w:lineRule="exact"/>
        <w:ind w:left="26" w:right="86" w:firstLine="632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14"/>
          <w:sz w:val="32"/>
          <w:szCs w:val="32"/>
        </w:rPr>
        <w:t>（二）人工智能赋能反诈治理。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聚焦涉诈异常电话卡精准识别、涉诈异常信息智能监测等方向，征集运用大模型、智能体等新技术，推动涉诈监测处置提质增效的典型案例。</w:t>
      </w:r>
    </w:p>
    <w:p w14:paraId="0EBC8F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560" w:lineRule="exact"/>
        <w:ind w:left="26" w:right="86" w:firstLine="632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14"/>
          <w:sz w:val="32"/>
          <w:szCs w:val="32"/>
        </w:rPr>
        <w:t>（三）互联网业务治理。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聚焦涉诈APP 关联挖掘、涉诈互联网账号识别、云上涉诈资源治理、智能终端反诈防护等方向，征集涉诈资源识别精准度高、治理效果好的典型案例。</w:t>
      </w:r>
    </w:p>
    <w:p w14:paraId="24EE61B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" w:line="560" w:lineRule="exact"/>
        <w:ind w:left="28" w:right="85" w:firstLine="629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14"/>
          <w:sz w:val="32"/>
          <w:szCs w:val="32"/>
        </w:rPr>
        <w:t>（四）涉诈黑灰产治理。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聚焦涉诈黑灰产链条化、隐匿化、跨平台化趋势，征集新型“猫池”发掘、黑灰产平台关联挖掘、跨平台引流识别等方面的典型案例。</w:t>
      </w:r>
    </w:p>
    <w:p w14:paraId="20379C5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560" w:lineRule="exact"/>
        <w:ind w:left="25" w:firstLine="634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14"/>
          <w:sz w:val="32"/>
          <w:szCs w:val="32"/>
        </w:rPr>
        <w:t>（五）反诈综合治理。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聚焦用户权益保障，征集涉诈预警提醒、涉诈投诉智能受理、反诈精准宣防等方面的典型案例。</w:t>
      </w:r>
    </w:p>
    <w:p w14:paraId="126CF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560" w:lineRule="exact"/>
        <w:ind w:left="672"/>
        <w:jc w:val="left"/>
        <w:textAlignment w:val="auto"/>
        <w:rPr>
          <w:rFonts w:ascii="黑体" w:hAnsi="黑体" w:eastAsia="黑体" w:cs="黑体"/>
          <w:spacing w:val="7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二、申报条件</w:t>
      </w:r>
    </w:p>
    <w:p w14:paraId="6275EB1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560" w:lineRule="exact"/>
        <w:ind w:left="25" w:firstLine="634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（一）申报主体应在中华人民共和国境内注册，具有独立法人资格（中央企业可为省级分公司），近三年经营状况良好、无重大违法违规行为，在质量、安全、信誉和社会责任等方面无不良记录。</w:t>
      </w:r>
    </w:p>
    <w:p w14:paraId="1A22FC7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560" w:lineRule="exact"/>
        <w:ind w:left="25" w:firstLine="634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（二）申报案例应主题明确、重点突出、逻辑清晰、数据翔实且技术先进，充分体现核心思路、创新亮点、实施路径和实践成效，具有较强的典型性、实用性和推广价值。</w:t>
      </w:r>
    </w:p>
    <w:p w14:paraId="7FB7E42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560" w:lineRule="exact"/>
        <w:ind w:left="25" w:firstLine="634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（三）申报材料应全面、真实且内容可公开，不涉及国家秘密、商业秘密等。</w:t>
      </w:r>
    </w:p>
    <w:p w14:paraId="0369F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" w:line="560" w:lineRule="exact"/>
        <w:ind w:left="686"/>
        <w:jc w:val="left"/>
        <w:textAlignment w:val="auto"/>
        <w:rPr>
          <w:rFonts w:ascii="黑体" w:hAnsi="黑体" w:eastAsia="黑体" w:cs="黑体"/>
          <w:spacing w:val="4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三、征集程序</w:t>
      </w:r>
    </w:p>
    <w:p w14:paraId="5A7E980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" w:line="560" w:lineRule="exact"/>
        <w:ind w:left="85" w:right="130" w:firstLine="573"/>
        <w:jc w:val="left"/>
        <w:textAlignment w:val="auto"/>
      </w:pPr>
      <w:r>
        <w:rPr>
          <w:rFonts w:hint="eastAsia" w:ascii="楷体_GB2312" w:hAnsi="楷体_GB2312" w:eastAsia="楷体_GB2312" w:cs="楷体_GB2312"/>
          <w:b w:val="0"/>
          <w:bCs w:val="0"/>
          <w:spacing w:val="14"/>
          <w:sz w:val="32"/>
          <w:szCs w:val="32"/>
        </w:rPr>
        <w:t>（一）材料申报。</w:t>
      </w:r>
      <w:r>
        <w:rPr>
          <w:rFonts w:ascii="KaiTi_GB2312" w:hAnsi="KaiTi_GB2312" w:eastAsia="KaiTi_GB2312" w:cs="KaiTi_GB2312"/>
          <w:spacing w:val="-73"/>
        </w:rPr>
        <w:t xml:space="preserve"> </w:t>
      </w:r>
      <w:r>
        <w:rPr>
          <w:spacing w:val="3"/>
        </w:rPr>
        <w:t>申报主体</w:t>
      </w:r>
      <w:r>
        <w:rPr>
          <w:rFonts w:hint="eastAsia"/>
          <w:spacing w:val="3"/>
          <w:lang w:val="en-US" w:eastAsia="zh-CN"/>
        </w:rPr>
        <w:t>应于</w:t>
      </w:r>
      <w:r>
        <w:rPr>
          <w:rFonts w:hint="eastAsia" w:ascii="仿宋_GB2312" w:hAnsi="仿宋_GB2312" w:eastAsia="仿宋_GB2312" w:cs="仿宋_GB2312"/>
          <w:spacing w:val="4"/>
          <w:lang w:val="en-US" w:eastAsia="zh-CN"/>
        </w:rPr>
        <w:t>2026年10月10日</w:t>
      </w:r>
      <w:r>
        <w:rPr>
          <w:rFonts w:hint="eastAsia"/>
          <w:spacing w:val="3"/>
          <w:lang w:val="en-US" w:eastAsia="zh-CN"/>
        </w:rPr>
        <w:t>前</w:t>
      </w:r>
      <w:r>
        <w:rPr>
          <w:spacing w:val="3"/>
        </w:rPr>
        <w:t>将申报材料报送至所在省、自治区、直辖市通信管理局。</w:t>
      </w:r>
    </w:p>
    <w:p w14:paraId="2CFD5C8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" w:line="560" w:lineRule="exact"/>
        <w:ind w:left="23" w:right="86" w:firstLine="635"/>
        <w:jc w:val="left"/>
        <w:textAlignment w:val="auto"/>
      </w:pPr>
      <w:r>
        <w:rPr>
          <w:rFonts w:hint="eastAsia" w:ascii="楷体_GB2312" w:hAnsi="楷体_GB2312" w:eastAsia="楷体_GB2312" w:cs="楷体_GB2312"/>
          <w:b w:val="0"/>
          <w:bCs w:val="0"/>
          <w:spacing w:val="14"/>
          <w:sz w:val="32"/>
          <w:szCs w:val="32"/>
        </w:rPr>
        <w:t>（二）案例推荐。</w:t>
      </w:r>
      <w:r>
        <w:rPr>
          <w:rFonts w:hint="eastAsia" w:ascii="仿宋_GB2312" w:hAnsi="仿宋_GB2312" w:eastAsia="仿宋_GB2312" w:cs="仿宋_GB2312"/>
          <w:b w:val="0"/>
          <w:bCs w:val="0"/>
          <w:spacing w:val="14"/>
          <w:sz w:val="32"/>
          <w:szCs w:val="32"/>
          <w:lang w:eastAsia="zh-CN"/>
        </w:rPr>
        <w:t>各省、自治区、直辖市</w:t>
      </w:r>
      <w:r>
        <w:rPr>
          <w:rFonts w:hint="eastAsia" w:ascii="仿宋_GB2312" w:hAnsi="仿宋_GB2312" w:eastAsia="仿宋_GB2312" w:cs="仿宋_GB2312"/>
          <w:spacing w:val="5"/>
        </w:rPr>
        <w:t>通信管</w:t>
      </w:r>
      <w:r>
        <w:rPr>
          <w:spacing w:val="5"/>
        </w:rPr>
        <w:t>理局负</w:t>
      </w:r>
      <w:r>
        <w:rPr>
          <w:spacing w:val="4"/>
        </w:rPr>
        <w:t>责本辖区内案例推荐工作，</w:t>
      </w:r>
      <w:r>
        <w:rPr>
          <w:spacing w:val="5"/>
        </w:rPr>
        <w:t>于2026年10月15日前将案例申报材料和推荐案例汇总表（加盖公章）报送至工业和信息化部（</w:t>
      </w:r>
      <w:r>
        <w:rPr>
          <w:spacing w:val="10"/>
        </w:rPr>
        <w:t>网络安全管理局</w:t>
      </w:r>
      <w:r>
        <w:rPr>
          <w:spacing w:val="42"/>
        </w:rPr>
        <w:t>），</w:t>
      </w:r>
      <w:r>
        <w:rPr>
          <w:spacing w:val="10"/>
        </w:rPr>
        <w:t>电子版发送至邮箱</w:t>
      </w:r>
      <w:r>
        <w:rPr>
          <w:rFonts w:ascii="Times New Roman" w:hAnsi="Times New Roman" w:eastAsia="Times New Roman" w:cs="Times New Roman"/>
        </w:rPr>
        <w:t>liuxun</w:t>
      </w:r>
      <w:r>
        <w:rPr>
          <w:rFonts w:ascii="Times New Roman" w:hAnsi="Times New Roman" w:eastAsia="Times New Roman" w:cs="Times New Roman"/>
          <w:spacing w:val="10"/>
        </w:rPr>
        <w:t>@</w:t>
      </w:r>
      <w:r>
        <w:rPr>
          <w:rFonts w:ascii="Times New Roman" w:hAnsi="Times New Roman" w:eastAsia="Times New Roman" w:cs="Times New Roman"/>
        </w:rPr>
        <w:t>miit</w:t>
      </w:r>
      <w:r>
        <w:rPr>
          <w:rFonts w:ascii="Times New Roman" w:hAnsi="Times New Roman" w:eastAsia="Times New Roman" w:cs="Times New Roman"/>
          <w:spacing w:val="10"/>
        </w:rPr>
        <w:t>.</w:t>
      </w:r>
      <w:r>
        <w:rPr>
          <w:rFonts w:ascii="Times New Roman" w:hAnsi="Times New Roman" w:eastAsia="Times New Roman" w:cs="Times New Roman"/>
        </w:rPr>
        <w:t xml:space="preserve"> </w:t>
      </w:r>
      <w:r>
        <w:fldChar w:fldCharType="begin"/>
      </w:r>
      <w:r>
        <w:instrText xml:space="preserve"> HYPERLINK "gov.cn" </w:instrText>
      </w:r>
      <w:r>
        <w:fldChar w:fldCharType="separate"/>
      </w:r>
      <w:r>
        <w:rPr>
          <w:rFonts w:ascii="Times New Roman" w:hAnsi="Times New Roman" w:eastAsia="Times New Roman" w:cs="Times New Roman"/>
        </w:rPr>
        <w:t>gov</w:t>
      </w:r>
      <w:r>
        <w:rPr>
          <w:rFonts w:ascii="Times New Roman" w:hAnsi="Times New Roman" w:eastAsia="Times New Roman" w:cs="Times New Roman"/>
          <w:spacing w:val="7"/>
        </w:rPr>
        <w:t>.</w:t>
      </w:r>
      <w:r>
        <w:rPr>
          <w:rFonts w:ascii="Times New Roman" w:hAnsi="Times New Roman" w:eastAsia="Times New Roman" w:cs="Times New Roman"/>
        </w:rPr>
        <w:t>cn</w:t>
      </w:r>
      <w:r>
        <w:rPr>
          <w:rFonts w:ascii="Times New Roman" w:hAnsi="Times New Roman" w:eastAsia="Times New Roman" w:cs="Times New Roman"/>
        </w:rPr>
        <w:fldChar w:fldCharType="end"/>
      </w:r>
      <w:r>
        <w:rPr>
          <w:spacing w:val="7"/>
        </w:rPr>
        <w:t>。各省级通信管理局推荐案例不超过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 xml:space="preserve">5 </w:t>
      </w:r>
      <w:r>
        <w:rPr>
          <w:spacing w:val="7"/>
        </w:rPr>
        <w:t>个。</w:t>
      </w:r>
    </w:p>
    <w:p w14:paraId="5EE5FA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" w:line="560" w:lineRule="exact"/>
        <w:ind w:left="23" w:right="86" w:firstLine="635"/>
        <w:jc w:val="left"/>
        <w:textAlignment w:val="auto"/>
        <w:rPr>
          <w:spacing w:val="5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14"/>
          <w:sz w:val="32"/>
          <w:szCs w:val="32"/>
        </w:rPr>
        <w:t>（三）评审推广。</w:t>
      </w:r>
      <w:r>
        <w:rPr>
          <w:spacing w:val="5"/>
        </w:rPr>
        <w:t>工业和信息化部组织专家对申报案例进行评审，按程序公示、发布典型案例名单。对成效显著、示范效应良好的典型案例，按程序对外推广应用。</w:t>
      </w:r>
    </w:p>
    <w:p w14:paraId="772A4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" w:line="560" w:lineRule="exact"/>
        <w:ind w:left="686"/>
        <w:jc w:val="left"/>
        <w:textAlignment w:val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四、联系方式</w:t>
      </w:r>
    </w:p>
    <w:p w14:paraId="39DCC61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" w:line="560" w:lineRule="exact"/>
        <w:ind w:left="23" w:right="86" w:firstLine="635"/>
        <w:jc w:val="left"/>
        <w:textAlignment w:val="auto"/>
        <w:rPr>
          <w:spacing w:val="5"/>
        </w:rPr>
      </w:pPr>
      <w:r>
        <w:rPr>
          <w:rFonts w:hint="eastAsia"/>
          <w:spacing w:val="5"/>
          <w:lang w:val="en-US" w:eastAsia="zh-CN"/>
        </w:rPr>
        <w:t>工业和信息化部</w:t>
      </w:r>
      <w:r>
        <w:rPr>
          <w:spacing w:val="5"/>
        </w:rPr>
        <w:t>网络安全管理局：刘珣  010-68206196</w:t>
      </w:r>
    </w:p>
    <w:p w14:paraId="5ECCD9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260F9592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2818D8"/>
    <w:rsid w:val="0728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semiHidden/>
    <w:qFormat/>
    <w:uiPriority w:val="0"/>
    <w:pPr>
      <w:widowControl w:val="0"/>
      <w:jc w:val="both"/>
    </w:pPr>
    <w:rPr>
      <w:rFonts w:ascii="FangSong_GB2312" w:hAnsi="FangSong_GB2312" w:eastAsia="FangSong_GB2312" w:cs="FangSong_GB2312"/>
      <w:kern w:val="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2026-10-08T01:01:00Z</dcterms:created>
  <dc:creator>lenovo</dc:creator>
  <cp:lastModifiedBy>lenovo</cp:lastModifiedBy>
  <dcterms:modified xsi:type="dcterms:W3CDTF">2026-10-08T01:01:25Z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DDADE4B03F414ED3946F8D972011B224_11</vt:lpwstr>
  </property>
  <property fmtid="{D5CDD505-2E9C-101B-9397-08002B2CF9AE}" pid="4" name="KSOTemplateDocerSaveRecord">
    <vt:lpwstr>eyJoZGlkIjoiMzk4ZWZiOWE5ODZjMDhjYzc4ZWRlNmM0M2NlOTM4NGUiLCJ1c2VySWQiOiI0NDY5Mzg2MjEifQ==</vt:lpwstr>
  </property>
</Properties>
</file>